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F0F4D">
      <w:pPr>
        <w:snapToGrid w:val="0"/>
        <w:spacing w:line="640" w:lineRule="atLeast"/>
        <w:rPr>
          <w:rFonts w:ascii="黑体" w:hAnsi="黑体" w:eastAsia="黑体" w:cs="Times New Roman"/>
          <w:color w:val="000000"/>
          <w:sz w:val="32"/>
          <w:szCs w:val="32"/>
        </w:rPr>
      </w:pPr>
      <w:r>
        <w:rPr>
          <w:rFonts w:hint="eastAsia" w:ascii="黑体" w:hAnsi="黑体" w:eastAsia="黑体" w:cs="黑体"/>
          <w:color w:val="000000"/>
          <w:sz w:val="32"/>
          <w:szCs w:val="32"/>
        </w:rPr>
        <w:t>附件</w:t>
      </w:r>
      <w:bookmarkStart w:id="11" w:name="_GoBack"/>
      <w:bookmarkEnd w:id="11"/>
    </w:p>
    <w:p w14:paraId="797CA0A8">
      <w:pPr>
        <w:snapToGrid w:val="0"/>
        <w:spacing w:line="640" w:lineRule="atLeast"/>
        <w:rPr>
          <w:rFonts w:ascii="仿宋_GB2312" w:eastAsia="仿宋_GB2312" w:cs="Times New Roman"/>
          <w:color w:val="000000"/>
          <w:sz w:val="32"/>
          <w:szCs w:val="32"/>
        </w:rPr>
      </w:pPr>
    </w:p>
    <w:p w14:paraId="126075D3">
      <w:pPr>
        <w:snapToGrid w:val="0"/>
        <w:spacing w:line="640" w:lineRule="atLeast"/>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甘肃省房屋建筑和市政基础设施工程</w:t>
      </w:r>
    </w:p>
    <w:p w14:paraId="7505922D">
      <w:pPr>
        <w:snapToGrid w:val="0"/>
        <w:spacing w:line="640" w:lineRule="atLeast"/>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监理招标评标定标办法</w:t>
      </w:r>
    </w:p>
    <w:p w14:paraId="2738EC84">
      <w:pPr>
        <w:snapToGrid w:val="0"/>
        <w:spacing w:line="640" w:lineRule="atLeast"/>
        <w:ind w:firstLine="880" w:firstLineChars="200"/>
        <w:rPr>
          <w:rFonts w:ascii="宋体" w:cs="Times New Roman"/>
          <w:sz w:val="44"/>
          <w:szCs w:val="44"/>
        </w:rPr>
      </w:pPr>
    </w:p>
    <w:p w14:paraId="4DB59307">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第一条</w:t>
      </w:r>
      <w:r>
        <w:rPr>
          <w:rFonts w:ascii="仿宋_GB2312" w:eastAsia="仿宋_GB2312" w:cs="仿宋_GB2312"/>
          <w:color w:val="000000"/>
          <w:sz w:val="32"/>
          <w:szCs w:val="32"/>
        </w:rPr>
        <w:t xml:space="preserve">  </w:t>
      </w:r>
      <w:r>
        <w:rPr>
          <w:rFonts w:hint="eastAsia" w:ascii="仿宋_GB2312" w:eastAsia="仿宋_GB2312" w:cs="仿宋_GB2312"/>
          <w:sz w:val="32"/>
          <w:szCs w:val="32"/>
        </w:rPr>
        <w:t>为规范我省房屋建筑和市政基础设施工程监理招标投标活动，依据《中华人民共和国招标投标法》《中华人民共和国招标投标法实施条例》等相关法律法规规章和《住房和城乡建设部关于进一步加强房屋建筑和市政基础设施工程招标投标监管的指导意见》（建市规〔</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11</w:t>
      </w:r>
      <w:r>
        <w:rPr>
          <w:rFonts w:hint="eastAsia" w:ascii="仿宋_GB2312" w:eastAsia="仿宋_GB2312" w:cs="仿宋_GB2312"/>
          <w:sz w:val="32"/>
          <w:szCs w:val="32"/>
        </w:rPr>
        <w:t>号）规定，结合本省实际情况，制定本办法。</w:t>
      </w:r>
    </w:p>
    <w:p w14:paraId="75361BED">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第二条</w:t>
      </w:r>
      <w:r>
        <w:rPr>
          <w:rFonts w:ascii="黑体" w:hAnsi="黑体" w:eastAsia="黑体" w:cs="黑体"/>
          <w:color w:val="000000"/>
          <w:sz w:val="32"/>
          <w:szCs w:val="32"/>
        </w:rPr>
        <w:t xml:space="preserve">  </w:t>
      </w:r>
      <w:r>
        <w:rPr>
          <w:rFonts w:hint="eastAsia" w:ascii="仿宋_GB2312" w:eastAsia="仿宋_GB2312" w:cs="仿宋_GB2312"/>
          <w:sz w:val="32"/>
          <w:szCs w:val="32"/>
        </w:rPr>
        <w:t>本省行政区域内房屋建筑和市政基础设施工程的监理招标评标定标</w:t>
      </w:r>
      <w:r>
        <w:rPr>
          <w:rFonts w:hint="eastAsia" w:ascii="仿宋_GB2312" w:eastAsia="仿宋_GB2312" w:cs="仿宋_GB2312"/>
          <w:color w:val="000000"/>
          <w:sz w:val="32"/>
          <w:szCs w:val="32"/>
        </w:rPr>
        <w:t>活动适</w:t>
      </w:r>
      <w:r>
        <w:rPr>
          <w:rFonts w:hint="eastAsia" w:ascii="仿宋_GB2312" w:eastAsia="仿宋_GB2312" w:cs="仿宋_GB2312"/>
          <w:sz w:val="32"/>
          <w:szCs w:val="32"/>
        </w:rPr>
        <w:t>用本办法。</w:t>
      </w:r>
    </w:p>
    <w:p w14:paraId="18C731C0">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第三条</w:t>
      </w:r>
      <w:r>
        <w:rPr>
          <w:rFonts w:ascii="仿宋_GB2312" w:eastAsia="仿宋_GB2312" w:cs="仿宋_GB2312"/>
          <w:sz w:val="32"/>
          <w:szCs w:val="32"/>
        </w:rPr>
        <w:t xml:space="preserve">  </w:t>
      </w:r>
      <w:r>
        <w:rPr>
          <w:rFonts w:hint="eastAsia" w:ascii="仿宋_GB2312" w:eastAsia="仿宋_GB2312" w:cs="仿宋_GB2312"/>
          <w:sz w:val="32"/>
          <w:szCs w:val="32"/>
        </w:rPr>
        <w:t>开标前，投标人有下列情形之一的，招标人不予受理：</w:t>
      </w:r>
    </w:p>
    <w:p w14:paraId="19507BC7">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（一）投标文件逾期送达；</w:t>
      </w:r>
    </w:p>
    <w:p w14:paraId="3B312081">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（二）投标文件未按招标文件要求密封。</w:t>
      </w:r>
    </w:p>
    <w:p w14:paraId="692C62E7">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第四条</w:t>
      </w:r>
      <w:r>
        <w:rPr>
          <w:rFonts w:ascii="仿宋_GB2312" w:eastAsia="仿宋_GB2312" w:cs="仿宋_GB2312"/>
          <w:sz w:val="32"/>
          <w:szCs w:val="32"/>
        </w:rPr>
        <w:t xml:space="preserve">  </w:t>
      </w:r>
      <w:r>
        <w:rPr>
          <w:rFonts w:hint="eastAsia" w:ascii="仿宋_GB2312" w:eastAsia="仿宋_GB2312" w:cs="仿宋_GB2312"/>
          <w:sz w:val="32"/>
          <w:szCs w:val="32"/>
        </w:rPr>
        <w:t>监理招标评标定标工作应由招标人负责组织，任何单位和个人不得非法干预、影响评标过程及结果。</w:t>
      </w:r>
    </w:p>
    <w:p w14:paraId="758213E0">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第五条</w:t>
      </w:r>
      <w:r>
        <w:rPr>
          <w:rFonts w:ascii="仿宋_GB2312" w:eastAsia="仿宋_GB2312" w:cs="仿宋_GB2312"/>
          <w:sz w:val="32"/>
          <w:szCs w:val="32"/>
        </w:rPr>
        <w:t xml:space="preserve">  </w:t>
      </w:r>
      <w:r>
        <w:rPr>
          <w:rFonts w:hint="eastAsia" w:ascii="仿宋_GB2312" w:eastAsia="仿宋_GB2312" w:cs="仿宋_GB2312"/>
          <w:sz w:val="32"/>
          <w:szCs w:val="32"/>
        </w:rPr>
        <w:t>招标人应当根据工程特点和需要依法组建评标委员会。评标委员会成员人数为</w:t>
      </w:r>
      <w:r>
        <w:rPr>
          <w:rFonts w:ascii="仿宋_GB2312" w:eastAsia="仿宋_GB2312" w:cs="仿宋_GB2312"/>
          <w:sz w:val="32"/>
          <w:szCs w:val="32"/>
        </w:rPr>
        <w:t>5</w:t>
      </w:r>
      <w:r>
        <w:rPr>
          <w:rFonts w:hint="eastAsia" w:ascii="仿宋_GB2312" w:eastAsia="仿宋_GB2312" w:cs="仿宋_GB2312"/>
          <w:sz w:val="32"/>
          <w:szCs w:val="32"/>
        </w:rPr>
        <w:t>人以上单数，其中技术、经济等方面的专家不得少于成员总数的三分之二。评标委员会的专家成员应当从评标专家库内相关专业的专家名单中以随机抽取方式确定。</w:t>
      </w:r>
    </w:p>
    <w:p w14:paraId="66FFE299">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评标委员会成员与投标人有利害关系的，应当主动回避。</w:t>
      </w:r>
    </w:p>
    <w:p w14:paraId="4401F260">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color w:val="000000"/>
          <w:sz w:val="32"/>
          <w:szCs w:val="32"/>
        </w:rPr>
        <w:t>第六条</w:t>
      </w:r>
      <w:r>
        <w:rPr>
          <w:rFonts w:ascii="仿宋_GB2312" w:eastAsia="仿宋_GB2312" w:cs="仿宋_GB2312"/>
          <w:sz w:val="32"/>
          <w:szCs w:val="32"/>
        </w:rPr>
        <w:t xml:space="preserve">  </w:t>
      </w:r>
      <w:r>
        <w:rPr>
          <w:rFonts w:hint="eastAsia" w:ascii="仿宋_GB2312" w:eastAsia="仿宋_GB2312" w:cs="仿宋_GB2312"/>
          <w:sz w:val="32"/>
          <w:szCs w:val="32"/>
        </w:rPr>
        <w:t>监理项目招标，</w:t>
      </w:r>
      <w:r>
        <w:rPr>
          <w:rFonts w:hint="eastAsia" w:ascii="仿宋_GB2312" w:eastAsia="仿宋_GB2312" w:cs="仿宋_GB2312"/>
          <w:color w:val="000000"/>
          <w:sz w:val="32"/>
          <w:szCs w:val="32"/>
        </w:rPr>
        <w:t>招标人可采用资格预审或资格后审方式对投标人资格进行审查。</w:t>
      </w:r>
    </w:p>
    <w:p w14:paraId="25195E8F">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招标人可依据《房屋建筑工程监理工作标准（试行）》（中建监协〔</w:t>
      </w:r>
      <w:r>
        <w:rPr>
          <w:rFonts w:ascii="仿宋_GB2312" w:eastAsia="仿宋_GB2312" w:cs="仿宋_GB2312"/>
          <w:sz w:val="32"/>
          <w:szCs w:val="32"/>
        </w:rPr>
        <w:t>2020</w:t>
      </w:r>
      <w:r>
        <w:rPr>
          <w:rFonts w:hint="eastAsia" w:ascii="仿宋_GB2312" w:eastAsia="仿宋_GB2312" w:cs="仿宋_GB2312"/>
          <w:sz w:val="32"/>
          <w:szCs w:val="32"/>
        </w:rPr>
        <w:t>〕</w:t>
      </w:r>
      <w:r>
        <w:rPr>
          <w:rFonts w:ascii="仿宋_GB2312" w:eastAsia="仿宋_GB2312" w:cs="仿宋_GB2312"/>
          <w:sz w:val="32"/>
          <w:szCs w:val="32"/>
        </w:rPr>
        <w:t>15</w:t>
      </w:r>
      <w:r>
        <w:rPr>
          <w:rFonts w:hint="eastAsia" w:ascii="仿宋_GB2312" w:eastAsia="仿宋_GB2312" w:cs="仿宋_GB2312"/>
          <w:sz w:val="32"/>
          <w:szCs w:val="32"/>
        </w:rPr>
        <w:t>号）的规定，在招标文件中对拟招标项目的监理机构人员配置、监理工器具配置提出明确要求。</w:t>
      </w:r>
    </w:p>
    <w:p w14:paraId="3B948FEC">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第七条</w:t>
      </w:r>
      <w:r>
        <w:rPr>
          <w:rFonts w:ascii="黑体" w:hAnsi="黑体" w:eastAsia="黑体" w:cs="黑体"/>
          <w:color w:val="000000"/>
          <w:sz w:val="32"/>
          <w:szCs w:val="32"/>
        </w:rPr>
        <w:t xml:space="preserve">  </w:t>
      </w:r>
      <w:r>
        <w:rPr>
          <w:rFonts w:hint="eastAsia" w:ascii="仿宋_GB2312" w:eastAsia="仿宋_GB2312" w:cs="仿宋_GB2312"/>
          <w:sz w:val="32"/>
          <w:szCs w:val="32"/>
        </w:rPr>
        <w:t>评标委员会首先对投标人进行资格审查。资格审</w:t>
      </w:r>
      <w:bookmarkStart w:id="0" w:name="OLE_LINK1"/>
      <w:r>
        <w:rPr>
          <w:rFonts w:hint="eastAsia" w:ascii="仿宋_GB2312" w:eastAsia="仿宋_GB2312" w:cs="仿宋_GB2312"/>
          <w:sz w:val="32"/>
          <w:szCs w:val="32"/>
        </w:rPr>
        <w:t>查</w:t>
      </w:r>
      <w:bookmarkEnd w:id="0"/>
      <w:r>
        <w:rPr>
          <w:rFonts w:hint="eastAsia" w:ascii="仿宋_GB2312" w:eastAsia="仿宋_GB2312" w:cs="仿宋_GB2312"/>
          <w:sz w:val="32"/>
          <w:szCs w:val="32"/>
        </w:rPr>
        <w:t>合格的投标人进入初步评审，初步评审合格的投标人进入详细评审。</w:t>
      </w:r>
    </w:p>
    <w:p w14:paraId="31A2961E">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经资格审查不合格、初步评审不合格的投标人的投标应作否决投标处理。</w:t>
      </w:r>
    </w:p>
    <w:p w14:paraId="5B8765A1">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第八条</w:t>
      </w:r>
      <w:r>
        <w:rPr>
          <w:rFonts w:ascii="仿宋_GB2312" w:eastAsia="仿宋_GB2312" w:cs="仿宋_GB2312"/>
          <w:sz w:val="32"/>
          <w:szCs w:val="32"/>
        </w:rPr>
        <w:t xml:space="preserve">  </w:t>
      </w:r>
      <w:r>
        <w:rPr>
          <w:rFonts w:hint="eastAsia" w:ascii="仿宋_GB2312" w:eastAsia="仿宋_GB2312" w:cs="仿宋_GB2312"/>
          <w:sz w:val="32"/>
          <w:szCs w:val="32"/>
        </w:rPr>
        <w:t>投标人不具有独立订立合同的资格，或投标人的投标文件未响应招标文件的实质性要求的，资格审查不合格。</w:t>
      </w:r>
      <w:bookmarkStart w:id="1" w:name="_Hlk77692269"/>
    </w:p>
    <w:p w14:paraId="7E977E30">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第九条</w:t>
      </w:r>
      <w:r>
        <w:rPr>
          <w:rFonts w:ascii="仿宋_GB2312" w:eastAsia="仿宋_GB2312" w:cs="仿宋_GB2312"/>
          <w:sz w:val="32"/>
          <w:szCs w:val="32"/>
        </w:rPr>
        <w:t xml:space="preserve">  </w:t>
      </w:r>
      <w:r>
        <w:rPr>
          <w:rFonts w:hint="eastAsia" w:ascii="仿宋_GB2312" w:eastAsia="仿宋_GB2312" w:cs="仿宋_GB2312"/>
          <w:sz w:val="32"/>
          <w:szCs w:val="32"/>
        </w:rPr>
        <w:t>投标人有下列情形之一的，初步评审不合格：</w:t>
      </w:r>
    </w:p>
    <w:p w14:paraId="07B98354">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（一）投标人名称与营业执照、资质证书不一致；</w:t>
      </w:r>
    </w:p>
    <w:p w14:paraId="0717D265">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（二）投标函无单位盖章且无法定代表人或其委托代理人签字或盖章的；</w:t>
      </w:r>
    </w:p>
    <w:p w14:paraId="68F39909">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（三）投标文件格式不符合招标文件的要求；</w:t>
      </w:r>
    </w:p>
    <w:p w14:paraId="07BF6532">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（四）投标联合体没有提交共同投标协议；</w:t>
      </w:r>
    </w:p>
    <w:p w14:paraId="0599E264">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（五）</w:t>
      </w:r>
      <w:bookmarkStart w:id="2" w:name="_Hlk77755245"/>
      <w:r>
        <w:rPr>
          <w:rFonts w:hint="eastAsia" w:ascii="仿宋_GB2312" w:eastAsia="仿宋_GB2312" w:cs="仿宋_GB2312"/>
          <w:sz w:val="32"/>
          <w:szCs w:val="32"/>
        </w:rPr>
        <w:t>同一投标人提交两个以上不同的投标文件或者投标报价，但招标文件要求提交备选投标的除外；</w:t>
      </w:r>
      <w:bookmarkEnd w:id="2"/>
    </w:p>
    <w:p w14:paraId="6844213A">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（六）投标人的投标报价不满足招标文件的要求；</w:t>
      </w:r>
    </w:p>
    <w:p w14:paraId="0A76A607">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（七）投标人的投标有效期不满足招标文件的要求；</w:t>
      </w:r>
    </w:p>
    <w:p w14:paraId="52F50EAA">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（八）投标人的投标保证金不满足招标文件的要求；</w:t>
      </w:r>
    </w:p>
    <w:p w14:paraId="6B951779">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（九）不符合招标文件中规定的其他实质性要求；</w:t>
      </w:r>
    </w:p>
    <w:p w14:paraId="6CC1CDD4">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（十）投标文件附有招标人不能接受的条件；</w:t>
      </w:r>
    </w:p>
    <w:p w14:paraId="60ADA479">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（十一）法律法规规章规定的其他情形。</w:t>
      </w:r>
      <w:bookmarkEnd w:id="1"/>
    </w:p>
    <w:p w14:paraId="7BDDA79F">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第十条</w:t>
      </w:r>
      <w:r>
        <w:rPr>
          <w:rFonts w:ascii="仿宋_GB2312" w:eastAsia="仿宋_GB2312" w:cs="仿宋_GB2312"/>
          <w:sz w:val="32"/>
          <w:szCs w:val="32"/>
        </w:rPr>
        <w:t xml:space="preserve">  </w:t>
      </w:r>
      <w:r>
        <w:rPr>
          <w:rFonts w:hint="eastAsia" w:ascii="仿宋_GB2312" w:eastAsia="仿宋_GB2312" w:cs="仿宋_GB2312"/>
          <w:sz w:val="32"/>
          <w:szCs w:val="32"/>
        </w:rPr>
        <w:t>招标人编制的招标文件应当包括招标项目的技术要求、对投标人资格审查的标准、投标报价要求和评标标准等所有实质性要求、条件以及拟签订合同的主要条款。</w:t>
      </w:r>
    </w:p>
    <w:p w14:paraId="17EF12E4">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招标文件中的评标标准可以按照本办法规定的量化因素和分值确定，由评标委员会按照招标文件确定的评标标准和方法进行打分，并计算出进入详细评审的每个投标人的综合评估得分。</w:t>
      </w:r>
    </w:p>
    <w:p w14:paraId="1B0C015F">
      <w:pPr>
        <w:snapToGrid w:val="0"/>
        <w:spacing w:line="640" w:lineRule="atLeast"/>
        <w:ind w:firstLine="640" w:firstLineChars="200"/>
        <w:rPr>
          <w:rFonts w:ascii="仿宋_GB2312" w:eastAsia="仿宋_GB2312" w:cs="Times New Roman"/>
          <w:sz w:val="32"/>
          <w:szCs w:val="32"/>
        </w:rPr>
      </w:pPr>
      <w:r>
        <w:rPr>
          <w:rFonts w:hint="eastAsia" w:ascii="黑体" w:hAnsi="黑体" w:eastAsia="黑体" w:cs="黑体"/>
          <w:color w:val="000000"/>
          <w:sz w:val="32"/>
          <w:szCs w:val="32"/>
        </w:rPr>
        <w:t>第十一条</w:t>
      </w:r>
      <w:r>
        <w:rPr>
          <w:rFonts w:ascii="仿宋_GB2312" w:eastAsia="仿宋_GB2312" w:cs="仿宋_GB2312"/>
          <w:sz w:val="32"/>
          <w:szCs w:val="32"/>
        </w:rPr>
        <w:t xml:space="preserve">  </w:t>
      </w:r>
      <w:r>
        <w:rPr>
          <w:rFonts w:hint="eastAsia" w:ascii="仿宋_GB2312" w:eastAsia="仿宋_GB2312" w:cs="仿宋_GB2312"/>
          <w:sz w:val="32"/>
          <w:szCs w:val="32"/>
        </w:rPr>
        <w:t>投标人的综合评估分值构成与评分标准：</w:t>
      </w:r>
    </w:p>
    <w:p w14:paraId="037297B6">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（一）投标人得分由投标报价得分、资信业绩得分、技术标得分组成，分值分布为</w:t>
      </w:r>
      <w:r>
        <w:rPr>
          <w:rFonts w:ascii="仿宋_GB2312" w:hAnsi="仿宋" w:eastAsia="仿宋_GB2312" w:cs="仿宋_GB2312"/>
          <w:sz w:val="32"/>
          <w:szCs w:val="32"/>
        </w:rPr>
        <w:t>20</w:t>
      </w:r>
      <w:r>
        <w:rPr>
          <w:rFonts w:hint="eastAsia" w:ascii="仿宋_GB2312" w:hAnsi="仿宋" w:eastAsia="仿宋_GB2312" w:cs="仿宋_GB2312"/>
          <w:sz w:val="32"/>
          <w:szCs w:val="32"/>
        </w:rPr>
        <w:t>分、</w:t>
      </w:r>
      <w:r>
        <w:rPr>
          <w:rFonts w:ascii="仿宋_GB2312" w:hAnsi="仿宋" w:eastAsia="仿宋_GB2312" w:cs="仿宋_GB2312"/>
          <w:sz w:val="32"/>
          <w:szCs w:val="32"/>
        </w:rPr>
        <w:t>5</w:t>
      </w:r>
      <w:r>
        <w:rPr>
          <w:rFonts w:hint="eastAsia" w:ascii="仿宋_GB2312" w:hAnsi="仿宋" w:eastAsia="仿宋_GB2312" w:cs="仿宋_GB2312"/>
          <w:sz w:val="32"/>
          <w:szCs w:val="32"/>
        </w:rPr>
        <w:t>分、</w:t>
      </w:r>
      <w:r>
        <w:rPr>
          <w:rFonts w:ascii="仿宋_GB2312" w:hAnsi="仿宋" w:eastAsia="仿宋_GB2312" w:cs="仿宋_GB2312"/>
          <w:sz w:val="32"/>
          <w:szCs w:val="32"/>
        </w:rPr>
        <w:t>75</w:t>
      </w:r>
      <w:r>
        <w:rPr>
          <w:rFonts w:hint="eastAsia" w:ascii="仿宋_GB2312" w:hAnsi="仿宋" w:eastAsia="仿宋_GB2312" w:cs="仿宋_GB2312"/>
          <w:sz w:val="32"/>
          <w:szCs w:val="32"/>
        </w:rPr>
        <w:t>分，总分</w:t>
      </w:r>
      <w:r>
        <w:rPr>
          <w:rFonts w:ascii="仿宋_GB2312" w:hAnsi="仿宋" w:eastAsia="仿宋_GB2312" w:cs="仿宋_GB2312"/>
          <w:sz w:val="32"/>
          <w:szCs w:val="32"/>
        </w:rPr>
        <w:t>100</w:t>
      </w:r>
      <w:r>
        <w:rPr>
          <w:rFonts w:hint="eastAsia" w:ascii="仿宋_GB2312" w:hAnsi="仿宋" w:eastAsia="仿宋_GB2312" w:cs="仿宋_GB2312"/>
          <w:sz w:val="32"/>
          <w:szCs w:val="32"/>
        </w:rPr>
        <w:t>分。</w:t>
      </w:r>
    </w:p>
    <w:p w14:paraId="6F0BA0DD">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（二）评分标准</w:t>
      </w:r>
    </w:p>
    <w:p w14:paraId="78502871">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投标报价评标基准价计算方法</w:t>
      </w:r>
    </w:p>
    <w:p w14:paraId="27B30763">
      <w:pPr>
        <w:snapToGrid w:val="0"/>
        <w:spacing w:line="640" w:lineRule="atLeast"/>
        <w:ind w:firstLine="640" w:firstLineChars="200"/>
        <w:rPr>
          <w:rFonts w:ascii="仿宋_GB2312" w:eastAsia="仿宋_GB2312" w:cs="Times New Roman"/>
          <w:sz w:val="32"/>
          <w:szCs w:val="32"/>
        </w:rPr>
      </w:pPr>
      <w:r>
        <w:rPr>
          <w:rFonts w:hint="eastAsia" w:ascii="仿宋_GB2312" w:eastAsia="仿宋_GB2312" w:cs="仿宋_GB2312"/>
          <w:sz w:val="32"/>
          <w:szCs w:val="32"/>
        </w:rPr>
        <w:t>通过资格审查和初步评审后的投标人的报价为有效报价。有效报价去掉一个最高价、去掉一个最低价后的算术平均值为评标基准价。当有效报价为</w:t>
      </w:r>
      <w:r>
        <w:rPr>
          <w:rFonts w:ascii="仿宋_GB2312" w:eastAsia="仿宋_GB2312" w:cs="仿宋_GB2312"/>
          <w:sz w:val="32"/>
          <w:szCs w:val="32"/>
        </w:rPr>
        <w:t>3</w:t>
      </w:r>
      <w:r>
        <w:rPr>
          <w:rFonts w:hint="eastAsia" w:ascii="仿宋_GB2312" w:eastAsia="仿宋_GB2312" w:cs="仿宋_GB2312"/>
          <w:sz w:val="32"/>
          <w:szCs w:val="32"/>
        </w:rPr>
        <w:t>家时，则</w:t>
      </w:r>
      <w:r>
        <w:rPr>
          <w:rFonts w:ascii="仿宋_GB2312" w:eastAsia="仿宋_GB2312" w:cs="仿宋_GB2312"/>
          <w:sz w:val="32"/>
          <w:szCs w:val="32"/>
        </w:rPr>
        <w:t>3</w:t>
      </w:r>
      <w:r>
        <w:rPr>
          <w:rFonts w:hint="eastAsia" w:ascii="仿宋_GB2312" w:eastAsia="仿宋_GB2312" w:cs="仿宋_GB2312"/>
          <w:sz w:val="32"/>
          <w:szCs w:val="32"/>
        </w:rPr>
        <w:t>家有效报价的算术平均值为评标基准价。当有效报价</w:t>
      </w:r>
      <w:r>
        <w:rPr>
          <w:rFonts w:ascii="仿宋_GB2312" w:eastAsia="仿宋_GB2312" w:cs="仿宋_GB2312"/>
          <w:sz w:val="32"/>
          <w:szCs w:val="32"/>
        </w:rPr>
        <w:t>9</w:t>
      </w:r>
      <w:r>
        <w:rPr>
          <w:rFonts w:hint="eastAsia" w:ascii="仿宋_GB2312" w:eastAsia="仿宋_GB2312" w:cs="仿宋_GB2312"/>
          <w:sz w:val="32"/>
          <w:szCs w:val="32"/>
        </w:rPr>
        <w:t>家以上时，有效报价去掉</w:t>
      </w:r>
      <w:r>
        <w:rPr>
          <w:rFonts w:ascii="仿宋_GB2312" w:eastAsia="仿宋_GB2312" w:cs="仿宋_GB2312"/>
          <w:sz w:val="32"/>
          <w:szCs w:val="32"/>
        </w:rPr>
        <w:t>2</w:t>
      </w:r>
      <w:r>
        <w:rPr>
          <w:rFonts w:hint="eastAsia" w:ascii="仿宋_GB2312" w:eastAsia="仿宋_GB2312" w:cs="仿宋_GB2312"/>
          <w:sz w:val="32"/>
          <w:szCs w:val="32"/>
        </w:rPr>
        <w:t>个最高价、去掉</w:t>
      </w:r>
      <w:r>
        <w:rPr>
          <w:rFonts w:ascii="仿宋_GB2312" w:eastAsia="仿宋_GB2312" w:cs="仿宋_GB2312"/>
          <w:sz w:val="32"/>
          <w:szCs w:val="32"/>
        </w:rPr>
        <w:t>2</w:t>
      </w:r>
      <w:r>
        <w:rPr>
          <w:rFonts w:hint="eastAsia" w:ascii="仿宋_GB2312" w:eastAsia="仿宋_GB2312" w:cs="仿宋_GB2312"/>
          <w:sz w:val="32"/>
          <w:szCs w:val="32"/>
        </w:rPr>
        <w:t>个最低价后的算术平均值为评标基准价。</w:t>
      </w:r>
    </w:p>
    <w:p w14:paraId="25C83FDB">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投标报价的偏差率计算公式</w:t>
      </w:r>
    </w:p>
    <w:p w14:paraId="03BBA13A">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偏差率</w:t>
      </w:r>
      <w:r>
        <w:rPr>
          <w:rFonts w:ascii="仿宋_GB2312" w:eastAsia="仿宋_GB2312" w:cs="仿宋_GB2312"/>
          <w:color w:val="000000"/>
          <w:sz w:val="32"/>
          <w:szCs w:val="32"/>
        </w:rPr>
        <w:t>=100%</w:t>
      </w:r>
      <w:r>
        <w:rPr>
          <w:rFonts w:hint="eastAsia" w:ascii="仿宋_GB2312" w:eastAsia="仿宋_GB2312" w:cs="仿宋_GB2312"/>
          <w:color w:val="000000"/>
          <w:sz w:val="32"/>
          <w:szCs w:val="32"/>
        </w:rPr>
        <w:t>×（投标人报价</w:t>
      </w:r>
      <w:r>
        <w:rPr>
          <w:rFonts w:ascii="仿宋_GB2312" w:eastAsia="仿宋_GB2312" w:cs="仿宋_GB2312"/>
          <w:color w:val="000000"/>
          <w:sz w:val="32"/>
          <w:szCs w:val="32"/>
        </w:rPr>
        <w:t>-</w:t>
      </w:r>
      <w:r>
        <w:rPr>
          <w:rFonts w:hint="eastAsia" w:ascii="仿宋_GB2312" w:eastAsia="仿宋_GB2312" w:cs="仿宋_GB2312"/>
          <w:color w:val="000000"/>
          <w:sz w:val="32"/>
          <w:szCs w:val="32"/>
        </w:rPr>
        <w:t>评标基准价）</w:t>
      </w:r>
      <w:r>
        <w:rPr>
          <w:rFonts w:ascii="仿宋_GB2312" w:eastAsia="仿宋_GB2312" w:cs="仿宋_GB2312"/>
          <w:color w:val="000000"/>
          <w:sz w:val="32"/>
          <w:szCs w:val="32"/>
        </w:rPr>
        <w:t>/</w:t>
      </w:r>
      <w:r>
        <w:rPr>
          <w:rFonts w:hint="eastAsia" w:ascii="仿宋_GB2312" w:eastAsia="仿宋_GB2312" w:cs="仿宋_GB2312"/>
          <w:color w:val="000000"/>
          <w:sz w:val="32"/>
          <w:szCs w:val="32"/>
        </w:rPr>
        <w:t>评标基准价</w:t>
      </w:r>
    </w:p>
    <w:p w14:paraId="5C7247AB">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投标报价评分标准（</w:t>
      </w:r>
      <w:r>
        <w:rPr>
          <w:rFonts w:ascii="仿宋_GB2312" w:eastAsia="仿宋_GB2312" w:cs="仿宋_GB2312"/>
          <w:color w:val="000000"/>
          <w:sz w:val="32"/>
          <w:szCs w:val="32"/>
        </w:rPr>
        <w:t>20</w:t>
      </w:r>
      <w:r>
        <w:rPr>
          <w:rFonts w:hint="eastAsia" w:ascii="仿宋_GB2312" w:eastAsia="仿宋_GB2312" w:cs="仿宋_GB2312"/>
          <w:color w:val="000000"/>
          <w:sz w:val="32"/>
          <w:szCs w:val="32"/>
        </w:rPr>
        <w:t>分）</w:t>
      </w:r>
    </w:p>
    <w:tbl>
      <w:tblPr>
        <w:tblStyle w:val="5"/>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455"/>
      </w:tblGrid>
      <w:tr w14:paraId="658B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8" w:type="dxa"/>
            <w:vAlign w:val="center"/>
          </w:tcPr>
          <w:p w14:paraId="278C5808">
            <w:pPr>
              <w:snapToGrid w:val="0"/>
              <w:spacing w:line="240" w:lineRule="atLeast"/>
              <w:jc w:val="center"/>
              <w:rPr>
                <w:rFonts w:ascii="黑体" w:hAnsi="黑体" w:eastAsia="黑体" w:cs="Times New Roman"/>
                <w:sz w:val="24"/>
                <w:szCs w:val="24"/>
              </w:rPr>
            </w:pPr>
            <w:r>
              <w:rPr>
                <w:rFonts w:hint="eastAsia" w:ascii="黑体" w:hAnsi="黑体" w:eastAsia="黑体" w:cs="黑体"/>
                <w:sz w:val="24"/>
                <w:szCs w:val="24"/>
              </w:rPr>
              <w:t>评分项目</w:t>
            </w:r>
          </w:p>
        </w:tc>
        <w:tc>
          <w:tcPr>
            <w:tcW w:w="7455" w:type="dxa"/>
            <w:vAlign w:val="center"/>
          </w:tcPr>
          <w:p w14:paraId="59D28F5B">
            <w:pPr>
              <w:snapToGrid w:val="0"/>
              <w:spacing w:line="240" w:lineRule="atLeast"/>
              <w:jc w:val="center"/>
              <w:rPr>
                <w:rFonts w:ascii="黑体" w:hAnsi="黑体" w:eastAsia="黑体" w:cs="Times New Roman"/>
                <w:sz w:val="24"/>
                <w:szCs w:val="24"/>
              </w:rPr>
            </w:pPr>
            <w:r>
              <w:rPr>
                <w:rFonts w:hint="eastAsia" w:ascii="黑体" w:hAnsi="黑体" w:eastAsia="黑体" w:cs="黑体"/>
                <w:sz w:val="24"/>
                <w:szCs w:val="24"/>
              </w:rPr>
              <w:t>评</w:t>
            </w:r>
            <w:r>
              <w:rPr>
                <w:rFonts w:ascii="黑体" w:hAnsi="黑体" w:eastAsia="黑体" w:cs="黑体"/>
                <w:sz w:val="24"/>
                <w:szCs w:val="24"/>
              </w:rPr>
              <w:t xml:space="preserve">  </w:t>
            </w:r>
            <w:r>
              <w:rPr>
                <w:rFonts w:hint="eastAsia" w:ascii="黑体" w:hAnsi="黑体" w:eastAsia="黑体" w:cs="黑体"/>
                <w:sz w:val="24"/>
                <w:szCs w:val="24"/>
              </w:rPr>
              <w:t>分</w:t>
            </w:r>
            <w:r>
              <w:rPr>
                <w:rFonts w:ascii="黑体" w:hAnsi="黑体" w:eastAsia="黑体" w:cs="黑体"/>
                <w:sz w:val="24"/>
                <w:szCs w:val="24"/>
              </w:rPr>
              <w:t xml:space="preserve">  </w:t>
            </w:r>
            <w:r>
              <w:rPr>
                <w:rFonts w:hint="eastAsia" w:ascii="黑体" w:hAnsi="黑体" w:eastAsia="黑体" w:cs="黑体"/>
                <w:sz w:val="24"/>
                <w:szCs w:val="24"/>
              </w:rPr>
              <w:t>标</w:t>
            </w:r>
            <w:r>
              <w:rPr>
                <w:rFonts w:ascii="黑体" w:hAnsi="黑体" w:eastAsia="黑体" w:cs="黑体"/>
                <w:sz w:val="24"/>
                <w:szCs w:val="24"/>
              </w:rPr>
              <w:t xml:space="preserve">  </w:t>
            </w:r>
            <w:r>
              <w:rPr>
                <w:rFonts w:hint="eastAsia" w:ascii="黑体" w:hAnsi="黑体" w:eastAsia="黑体" w:cs="黑体"/>
                <w:sz w:val="24"/>
                <w:szCs w:val="24"/>
              </w:rPr>
              <w:t>准</w:t>
            </w:r>
          </w:p>
        </w:tc>
      </w:tr>
      <w:tr w14:paraId="35E9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548" w:type="dxa"/>
            <w:vAlign w:val="center"/>
          </w:tcPr>
          <w:p w14:paraId="2E82AAB1">
            <w:pPr>
              <w:snapToGrid w:val="0"/>
              <w:spacing w:line="240" w:lineRule="atLeast"/>
              <w:jc w:val="center"/>
              <w:rPr>
                <w:rFonts w:ascii="宋体" w:cs="Times New Roman"/>
                <w:sz w:val="24"/>
                <w:szCs w:val="24"/>
              </w:rPr>
            </w:pPr>
            <w:r>
              <w:rPr>
                <w:rFonts w:hint="eastAsia" w:ascii="宋体" w:hAnsi="宋体" w:cs="宋体"/>
                <w:sz w:val="24"/>
                <w:szCs w:val="24"/>
              </w:rPr>
              <w:t>投标报价</w:t>
            </w:r>
          </w:p>
        </w:tc>
        <w:tc>
          <w:tcPr>
            <w:tcW w:w="7455" w:type="dxa"/>
            <w:vAlign w:val="center"/>
          </w:tcPr>
          <w:p w14:paraId="40973B91">
            <w:pPr>
              <w:snapToGrid w:val="0"/>
              <w:spacing w:line="240" w:lineRule="atLeast"/>
              <w:rPr>
                <w:rFonts w:ascii="宋体" w:cs="Times New Roman"/>
                <w:sz w:val="24"/>
                <w:szCs w:val="24"/>
              </w:rPr>
            </w:pPr>
            <w:r>
              <w:rPr>
                <w:rFonts w:hint="eastAsia" w:ascii="宋体" w:hAnsi="宋体" w:cs="宋体"/>
                <w:sz w:val="24"/>
                <w:szCs w:val="24"/>
              </w:rPr>
              <w:t>等于评标基准价的有效报价得满分；与评标基准价相比，其有效报价每增加</w:t>
            </w:r>
            <w:r>
              <w:rPr>
                <w:rFonts w:ascii="宋体" w:hAnsi="宋体" w:cs="宋体"/>
                <w:sz w:val="24"/>
                <w:szCs w:val="24"/>
              </w:rPr>
              <w:t>1%</w:t>
            </w:r>
            <w:r>
              <w:rPr>
                <w:rFonts w:hint="eastAsia" w:ascii="宋体" w:hAnsi="宋体" w:cs="宋体"/>
                <w:sz w:val="24"/>
                <w:szCs w:val="24"/>
              </w:rPr>
              <w:t>，扣</w:t>
            </w:r>
            <w:r>
              <w:rPr>
                <w:rFonts w:ascii="宋体" w:hAnsi="宋体" w:cs="宋体"/>
                <w:sz w:val="24"/>
                <w:szCs w:val="24"/>
              </w:rPr>
              <w:t>0.1</w:t>
            </w:r>
            <w:r>
              <w:rPr>
                <w:rFonts w:hint="eastAsia" w:ascii="宋体" w:hAnsi="宋体" w:cs="宋体"/>
                <w:sz w:val="24"/>
                <w:szCs w:val="24"/>
              </w:rPr>
              <w:t>分，每减少</w:t>
            </w:r>
            <w:r>
              <w:rPr>
                <w:rFonts w:ascii="宋体" w:hAnsi="宋体" w:cs="宋体"/>
                <w:sz w:val="24"/>
                <w:szCs w:val="24"/>
              </w:rPr>
              <w:t>1%</w:t>
            </w:r>
            <w:r>
              <w:rPr>
                <w:rFonts w:hint="eastAsia" w:ascii="宋体" w:hAnsi="宋体" w:cs="宋体"/>
                <w:sz w:val="24"/>
                <w:szCs w:val="24"/>
              </w:rPr>
              <w:t>，扣</w:t>
            </w:r>
            <w:r>
              <w:rPr>
                <w:rFonts w:ascii="宋体" w:hAnsi="宋体" w:cs="宋体"/>
                <w:sz w:val="24"/>
                <w:szCs w:val="24"/>
              </w:rPr>
              <w:t>0.1</w:t>
            </w:r>
            <w:r>
              <w:rPr>
                <w:rFonts w:hint="eastAsia" w:ascii="宋体" w:hAnsi="宋体" w:cs="宋体"/>
                <w:sz w:val="24"/>
                <w:szCs w:val="24"/>
              </w:rPr>
              <w:t>分。</w:t>
            </w:r>
          </w:p>
        </w:tc>
      </w:tr>
      <w:tr w14:paraId="57A1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3" w:type="dxa"/>
            <w:gridSpan w:val="2"/>
            <w:vAlign w:val="center"/>
          </w:tcPr>
          <w:p w14:paraId="05BEED95">
            <w:pPr>
              <w:snapToGrid w:val="0"/>
              <w:spacing w:line="240" w:lineRule="atLeast"/>
              <w:rPr>
                <w:rFonts w:ascii="仿宋_GB2312" w:eastAsia="仿宋_GB2312" w:cs="Times New Roman"/>
                <w:color w:val="000000"/>
                <w:sz w:val="24"/>
                <w:szCs w:val="24"/>
              </w:rPr>
            </w:pPr>
            <w:r>
              <w:rPr>
                <w:rFonts w:hint="eastAsia" w:ascii="宋体" w:hAnsi="宋体" w:cs="宋体"/>
                <w:sz w:val="24"/>
                <w:szCs w:val="24"/>
              </w:rPr>
              <w:t>注：偏离不足</w:t>
            </w:r>
            <w:r>
              <w:rPr>
                <w:rFonts w:ascii="宋体" w:hAnsi="宋体" w:cs="宋体"/>
                <w:sz w:val="24"/>
                <w:szCs w:val="24"/>
              </w:rPr>
              <w:t>1%</w:t>
            </w:r>
            <w:r>
              <w:rPr>
                <w:rFonts w:hint="eastAsia" w:ascii="宋体" w:hAnsi="宋体" w:cs="宋体"/>
                <w:sz w:val="24"/>
                <w:szCs w:val="24"/>
              </w:rPr>
              <w:t>的，按照插入法计算得分，结果四舍五入保留</w:t>
            </w:r>
            <w:r>
              <w:rPr>
                <w:rFonts w:ascii="宋体" w:hAnsi="宋体" w:cs="宋体"/>
                <w:sz w:val="24"/>
                <w:szCs w:val="24"/>
              </w:rPr>
              <w:t>2</w:t>
            </w:r>
            <w:r>
              <w:rPr>
                <w:rFonts w:hint="eastAsia" w:ascii="宋体" w:hAnsi="宋体" w:cs="宋体"/>
                <w:sz w:val="24"/>
                <w:szCs w:val="24"/>
              </w:rPr>
              <w:t>位小数。</w:t>
            </w:r>
          </w:p>
        </w:tc>
      </w:tr>
    </w:tbl>
    <w:p w14:paraId="20C20444">
      <w:pPr>
        <w:spacing w:line="360" w:lineRule="auto"/>
        <w:ind w:firstLine="640" w:firstLineChars="200"/>
        <w:rPr>
          <w:rFonts w:ascii="仿宋_GB2312" w:eastAsia="仿宋_GB2312" w:cs="Times New Roman"/>
          <w:color w:val="000000"/>
          <w:sz w:val="32"/>
          <w:szCs w:val="32"/>
        </w:rPr>
      </w:pPr>
      <w:r>
        <w:rPr>
          <w:rFonts w:ascii="仿宋_GB2312" w:hAnsi="仿宋" w:eastAsia="仿宋_GB2312" w:cs="仿宋_GB2312"/>
          <w:sz w:val="32"/>
          <w:szCs w:val="32"/>
        </w:rPr>
        <w:t>4.</w:t>
      </w:r>
      <w:r>
        <w:rPr>
          <w:rFonts w:hint="eastAsia" w:ascii="仿宋_GB2312" w:eastAsia="仿宋_GB2312" w:cs="仿宋_GB2312"/>
          <w:color w:val="000000"/>
          <w:sz w:val="32"/>
          <w:szCs w:val="32"/>
        </w:rPr>
        <w:t>资信业绩得分标准（</w:t>
      </w:r>
      <w:r>
        <w:rPr>
          <w:rFonts w:ascii="仿宋_GB2312" w:eastAsia="仿宋_GB2312" w:cs="仿宋_GB2312"/>
          <w:color w:val="000000"/>
          <w:sz w:val="32"/>
          <w:szCs w:val="32"/>
        </w:rPr>
        <w:t>5</w:t>
      </w:r>
      <w:r>
        <w:rPr>
          <w:rFonts w:hint="eastAsia" w:ascii="仿宋_GB2312" w:eastAsia="仿宋_GB2312" w:cs="仿宋_GB2312"/>
          <w:color w:val="000000"/>
          <w:sz w:val="32"/>
          <w:szCs w:val="32"/>
        </w:rPr>
        <w:t>分）</w:t>
      </w:r>
    </w:p>
    <w:tbl>
      <w:tblPr>
        <w:tblStyle w:val="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1779"/>
        <w:gridCol w:w="5561"/>
        <w:gridCol w:w="933"/>
      </w:tblGrid>
      <w:tr w14:paraId="66EE5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9" w:type="dxa"/>
            <w:gridSpan w:val="2"/>
            <w:tcBorders>
              <w:top w:val="single" w:color="000000" w:sz="4" w:space="0"/>
              <w:left w:val="single" w:color="000000" w:sz="4" w:space="0"/>
              <w:right w:val="single" w:color="auto" w:sz="4" w:space="0"/>
            </w:tcBorders>
            <w:vAlign w:val="center"/>
          </w:tcPr>
          <w:p w14:paraId="36B4B351">
            <w:pPr>
              <w:snapToGrid w:val="0"/>
              <w:spacing w:line="240" w:lineRule="atLeast"/>
              <w:jc w:val="center"/>
              <w:rPr>
                <w:rFonts w:ascii="宋体" w:cs="Times New Roman"/>
              </w:rPr>
            </w:pPr>
            <w:r>
              <w:rPr>
                <w:rFonts w:hint="eastAsia" w:ascii="宋体" w:hAnsi="宋体" w:cs="宋体"/>
              </w:rPr>
              <w:t>评分项目</w:t>
            </w:r>
          </w:p>
        </w:tc>
        <w:tc>
          <w:tcPr>
            <w:tcW w:w="5561" w:type="dxa"/>
            <w:tcBorders>
              <w:top w:val="single" w:color="auto" w:sz="4" w:space="0"/>
              <w:left w:val="single" w:color="auto" w:sz="4" w:space="0"/>
              <w:bottom w:val="single" w:color="auto" w:sz="4" w:space="0"/>
              <w:right w:val="single" w:color="auto" w:sz="4" w:space="0"/>
            </w:tcBorders>
            <w:vAlign w:val="center"/>
          </w:tcPr>
          <w:p w14:paraId="13BC217A">
            <w:pPr>
              <w:snapToGrid w:val="0"/>
              <w:spacing w:line="240" w:lineRule="atLeast"/>
              <w:jc w:val="center"/>
              <w:rPr>
                <w:rFonts w:ascii="宋体" w:cs="Times New Roman"/>
              </w:rPr>
            </w:pPr>
            <w:r>
              <w:rPr>
                <w:rFonts w:hint="eastAsia" w:ascii="宋体" w:hAnsi="宋体" w:cs="宋体"/>
              </w:rPr>
              <w:t>评分标准</w:t>
            </w:r>
          </w:p>
        </w:tc>
        <w:tc>
          <w:tcPr>
            <w:tcW w:w="933" w:type="dxa"/>
            <w:tcBorders>
              <w:top w:val="single" w:color="auto" w:sz="4" w:space="0"/>
              <w:left w:val="single" w:color="auto" w:sz="4" w:space="0"/>
              <w:bottom w:val="single" w:color="auto" w:sz="4" w:space="0"/>
            </w:tcBorders>
            <w:vAlign w:val="center"/>
          </w:tcPr>
          <w:p w14:paraId="2C4222F3">
            <w:pPr>
              <w:snapToGrid w:val="0"/>
              <w:spacing w:line="240" w:lineRule="atLeast"/>
              <w:jc w:val="center"/>
              <w:rPr>
                <w:rFonts w:ascii="宋体" w:cs="Times New Roman"/>
              </w:rPr>
            </w:pPr>
            <w:r>
              <w:rPr>
                <w:rFonts w:hint="eastAsia" w:ascii="宋体" w:hAnsi="宋体" w:cs="宋体"/>
              </w:rPr>
              <w:t>得分</w:t>
            </w:r>
          </w:p>
        </w:tc>
      </w:tr>
      <w:tr w14:paraId="1D539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750" w:type="dxa"/>
            <w:vMerge w:val="restart"/>
            <w:tcBorders>
              <w:top w:val="single" w:color="000000" w:sz="4" w:space="0"/>
              <w:left w:val="single" w:color="000000" w:sz="4" w:space="0"/>
              <w:right w:val="single" w:color="auto" w:sz="4" w:space="0"/>
            </w:tcBorders>
            <w:vAlign w:val="center"/>
          </w:tcPr>
          <w:p w14:paraId="7216A3DE">
            <w:pPr>
              <w:snapToGrid w:val="0"/>
              <w:spacing w:line="240" w:lineRule="atLeast"/>
              <w:jc w:val="center"/>
              <w:rPr>
                <w:rFonts w:ascii="宋体" w:cs="Times New Roman"/>
              </w:rPr>
            </w:pPr>
            <w:r>
              <w:rPr>
                <w:rFonts w:hint="eastAsia" w:ascii="宋体" w:hAnsi="宋体" w:cs="宋体"/>
              </w:rPr>
              <w:t>资信业绩</w:t>
            </w:r>
          </w:p>
          <w:p w14:paraId="36B51836">
            <w:pPr>
              <w:snapToGrid w:val="0"/>
              <w:spacing w:line="240" w:lineRule="atLeast"/>
              <w:jc w:val="center"/>
              <w:rPr>
                <w:rFonts w:ascii="宋体" w:cs="Times New Roman"/>
              </w:rPr>
            </w:pPr>
            <w:r>
              <w:rPr>
                <w:rFonts w:ascii="宋体" w:hAnsi="宋体" w:cs="宋体"/>
              </w:rPr>
              <w:t>5</w:t>
            </w:r>
            <w:r>
              <w:rPr>
                <w:rFonts w:hint="eastAsia" w:ascii="宋体" w:hAnsi="宋体" w:cs="宋体"/>
              </w:rPr>
              <w:t>分</w:t>
            </w:r>
          </w:p>
        </w:tc>
        <w:tc>
          <w:tcPr>
            <w:tcW w:w="1779" w:type="dxa"/>
            <w:tcBorders>
              <w:top w:val="single" w:color="auto" w:sz="4" w:space="0"/>
              <w:left w:val="single" w:color="auto" w:sz="4" w:space="0"/>
              <w:bottom w:val="single" w:color="auto" w:sz="4" w:space="0"/>
              <w:right w:val="single" w:color="auto" w:sz="4" w:space="0"/>
            </w:tcBorders>
            <w:vAlign w:val="center"/>
          </w:tcPr>
          <w:p w14:paraId="38442FEC">
            <w:pPr>
              <w:snapToGrid w:val="0"/>
              <w:spacing w:line="240" w:lineRule="atLeast"/>
              <w:jc w:val="center"/>
              <w:rPr>
                <w:rFonts w:ascii="宋体" w:cs="Times New Roman"/>
              </w:rPr>
            </w:pPr>
            <w:r>
              <w:rPr>
                <w:rFonts w:hint="eastAsia" w:ascii="宋体" w:hAnsi="宋体" w:cs="宋体"/>
              </w:rPr>
              <w:t>监理业绩</w:t>
            </w:r>
          </w:p>
          <w:p w14:paraId="753153DF">
            <w:pPr>
              <w:snapToGrid w:val="0"/>
              <w:spacing w:line="240" w:lineRule="atLeast"/>
              <w:jc w:val="center"/>
              <w:rPr>
                <w:rFonts w:ascii="宋体" w:hAnsi="宋体" w:cs="宋体"/>
              </w:rPr>
            </w:pPr>
            <w:r>
              <w:rPr>
                <w:rFonts w:ascii="宋体" w:hAnsi="宋体" w:cs="宋体"/>
              </w:rPr>
              <w:t>(3</w:t>
            </w:r>
            <w:r>
              <w:rPr>
                <w:rFonts w:hint="eastAsia" w:ascii="宋体" w:hAnsi="宋体" w:cs="宋体"/>
              </w:rPr>
              <w:t>分</w:t>
            </w:r>
            <w:r>
              <w:rPr>
                <w:rFonts w:ascii="宋体" w:hAnsi="宋体" w:cs="宋体"/>
              </w:rPr>
              <w:t>)</w:t>
            </w:r>
          </w:p>
        </w:tc>
        <w:tc>
          <w:tcPr>
            <w:tcW w:w="5561" w:type="dxa"/>
            <w:tcBorders>
              <w:top w:val="single" w:color="auto" w:sz="4" w:space="0"/>
              <w:left w:val="single" w:color="auto" w:sz="4" w:space="0"/>
              <w:bottom w:val="single" w:color="auto" w:sz="4" w:space="0"/>
              <w:right w:val="single" w:color="auto" w:sz="4" w:space="0"/>
            </w:tcBorders>
            <w:vAlign w:val="center"/>
          </w:tcPr>
          <w:p w14:paraId="12A1E6B3">
            <w:pPr>
              <w:snapToGrid w:val="0"/>
              <w:spacing w:line="240" w:lineRule="atLeast"/>
              <w:rPr>
                <w:rFonts w:ascii="宋体" w:cs="Times New Roman"/>
              </w:rPr>
            </w:pPr>
            <w:r>
              <w:rPr>
                <w:rFonts w:hint="eastAsia" w:ascii="宋体" w:hAnsi="宋体" w:cs="宋体"/>
              </w:rPr>
              <w:t>投标人近三年内承担过一项同等级或以上工程监理项目得</w:t>
            </w:r>
            <w:r>
              <w:rPr>
                <w:rFonts w:ascii="宋体" w:hAnsi="宋体" w:cs="宋体"/>
              </w:rPr>
              <w:t>1</w:t>
            </w:r>
            <w:r>
              <w:rPr>
                <w:rFonts w:hint="eastAsia" w:ascii="宋体" w:hAnsi="宋体" w:cs="宋体"/>
              </w:rPr>
              <w:t>分，每增加一项得</w:t>
            </w:r>
            <w:r>
              <w:rPr>
                <w:rFonts w:ascii="宋体" w:hAnsi="宋体" w:cs="宋体"/>
              </w:rPr>
              <w:t>1</w:t>
            </w:r>
            <w:r>
              <w:rPr>
                <w:rFonts w:hint="eastAsia" w:ascii="宋体" w:hAnsi="宋体" w:cs="宋体"/>
              </w:rPr>
              <w:t>分，最高得</w:t>
            </w:r>
            <w:r>
              <w:rPr>
                <w:rFonts w:ascii="宋体" w:hAnsi="宋体" w:cs="宋体"/>
              </w:rPr>
              <w:t>3</w:t>
            </w:r>
            <w:r>
              <w:rPr>
                <w:rFonts w:hint="eastAsia" w:ascii="宋体" w:hAnsi="宋体" w:cs="宋体"/>
              </w:rPr>
              <w:t>分。</w:t>
            </w:r>
          </w:p>
        </w:tc>
        <w:tc>
          <w:tcPr>
            <w:tcW w:w="933" w:type="dxa"/>
            <w:tcBorders>
              <w:top w:val="single" w:color="auto" w:sz="4" w:space="0"/>
              <w:left w:val="single" w:color="auto" w:sz="4" w:space="0"/>
              <w:bottom w:val="single" w:color="auto" w:sz="4" w:space="0"/>
            </w:tcBorders>
            <w:vAlign w:val="center"/>
          </w:tcPr>
          <w:p w14:paraId="66274B0F">
            <w:pPr>
              <w:snapToGrid w:val="0"/>
              <w:spacing w:line="240" w:lineRule="atLeast"/>
              <w:jc w:val="center"/>
              <w:rPr>
                <w:rFonts w:ascii="宋体" w:cs="Times New Roman"/>
              </w:rPr>
            </w:pPr>
          </w:p>
        </w:tc>
      </w:tr>
      <w:tr w14:paraId="2BA72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750" w:type="dxa"/>
            <w:vMerge w:val="continue"/>
            <w:tcBorders>
              <w:left w:val="single" w:color="000000" w:sz="4" w:space="0"/>
              <w:bottom w:val="single" w:color="auto" w:sz="4" w:space="0"/>
              <w:right w:val="single" w:color="auto" w:sz="4" w:space="0"/>
            </w:tcBorders>
            <w:vAlign w:val="center"/>
          </w:tcPr>
          <w:p w14:paraId="0364A356">
            <w:pPr>
              <w:snapToGrid w:val="0"/>
              <w:spacing w:line="240" w:lineRule="atLeast"/>
              <w:jc w:val="center"/>
              <w:rPr>
                <w:rFonts w:ascii="宋体" w:cs="Times New Roman"/>
              </w:rPr>
            </w:pPr>
          </w:p>
        </w:tc>
        <w:tc>
          <w:tcPr>
            <w:tcW w:w="1779" w:type="dxa"/>
            <w:tcBorders>
              <w:top w:val="single" w:color="auto" w:sz="4" w:space="0"/>
              <w:left w:val="single" w:color="auto" w:sz="4" w:space="0"/>
              <w:bottom w:val="single" w:color="auto" w:sz="4" w:space="0"/>
              <w:right w:val="single" w:color="auto" w:sz="4" w:space="0"/>
            </w:tcBorders>
            <w:vAlign w:val="center"/>
          </w:tcPr>
          <w:p w14:paraId="7364F054">
            <w:pPr>
              <w:snapToGrid w:val="0"/>
              <w:spacing w:line="240" w:lineRule="atLeast"/>
              <w:jc w:val="center"/>
              <w:rPr>
                <w:rFonts w:ascii="宋体" w:cs="Times New Roman"/>
              </w:rPr>
            </w:pPr>
            <w:r>
              <w:rPr>
                <w:rFonts w:hint="eastAsia" w:ascii="宋体" w:hAnsi="宋体" w:cs="宋体"/>
              </w:rPr>
              <w:t>总监理工程师</w:t>
            </w:r>
          </w:p>
          <w:p w14:paraId="18C02AF2">
            <w:pPr>
              <w:snapToGrid w:val="0"/>
              <w:spacing w:line="240" w:lineRule="atLeast"/>
              <w:jc w:val="center"/>
              <w:rPr>
                <w:rFonts w:ascii="宋体" w:cs="Times New Roman"/>
              </w:rPr>
            </w:pPr>
            <w:r>
              <w:rPr>
                <w:rFonts w:hint="eastAsia" w:ascii="宋体" w:hAnsi="宋体" w:cs="宋体"/>
              </w:rPr>
              <w:t>（</w:t>
            </w:r>
            <w:r>
              <w:rPr>
                <w:rFonts w:ascii="宋体" w:hAnsi="宋体" w:cs="宋体"/>
              </w:rPr>
              <w:t>2</w:t>
            </w:r>
            <w:r>
              <w:rPr>
                <w:rFonts w:hint="eastAsia" w:ascii="宋体" w:hAnsi="宋体" w:cs="宋体"/>
              </w:rPr>
              <w:t>分）</w:t>
            </w:r>
          </w:p>
        </w:tc>
        <w:tc>
          <w:tcPr>
            <w:tcW w:w="5561" w:type="dxa"/>
            <w:tcBorders>
              <w:top w:val="single" w:color="auto" w:sz="4" w:space="0"/>
              <w:left w:val="single" w:color="auto" w:sz="4" w:space="0"/>
              <w:bottom w:val="single" w:color="auto" w:sz="4" w:space="0"/>
              <w:right w:val="single" w:color="auto" w:sz="4" w:space="0"/>
            </w:tcBorders>
            <w:vAlign w:val="center"/>
          </w:tcPr>
          <w:p w14:paraId="7EF1FF06">
            <w:pPr>
              <w:snapToGrid w:val="0"/>
              <w:spacing w:line="240" w:lineRule="atLeast"/>
              <w:rPr>
                <w:rFonts w:ascii="宋体" w:cs="Times New Roman"/>
              </w:rPr>
            </w:pPr>
            <w:r>
              <w:rPr>
                <w:rFonts w:hint="eastAsia" w:ascii="宋体" w:hAnsi="宋体" w:cs="宋体"/>
              </w:rPr>
              <w:t>投标人拟派的总监理工程师具有一项同等级或以上工程监理项目业绩得</w:t>
            </w:r>
            <w:r>
              <w:rPr>
                <w:rFonts w:ascii="宋体" w:hAnsi="宋体" w:cs="宋体"/>
              </w:rPr>
              <w:t>1</w:t>
            </w:r>
            <w:r>
              <w:rPr>
                <w:rFonts w:hint="eastAsia" w:ascii="宋体" w:hAnsi="宋体" w:cs="宋体"/>
              </w:rPr>
              <w:t>分，最高得</w:t>
            </w:r>
            <w:r>
              <w:rPr>
                <w:rFonts w:ascii="宋体" w:hAnsi="宋体" w:cs="宋体"/>
              </w:rPr>
              <w:t>1</w:t>
            </w:r>
            <w:r>
              <w:rPr>
                <w:rFonts w:hint="eastAsia" w:ascii="宋体" w:hAnsi="宋体" w:cs="宋体"/>
              </w:rPr>
              <w:t>分。投标人拟派的总监理工程师具有高级职称的加</w:t>
            </w:r>
            <w:r>
              <w:rPr>
                <w:rFonts w:ascii="宋体" w:hAnsi="宋体" w:cs="宋体"/>
              </w:rPr>
              <w:t>1</w:t>
            </w:r>
            <w:r>
              <w:rPr>
                <w:rFonts w:hint="eastAsia" w:ascii="宋体" w:hAnsi="宋体" w:cs="宋体"/>
              </w:rPr>
              <w:t>分。</w:t>
            </w:r>
          </w:p>
        </w:tc>
        <w:tc>
          <w:tcPr>
            <w:tcW w:w="933" w:type="dxa"/>
            <w:tcBorders>
              <w:top w:val="single" w:color="auto" w:sz="4" w:space="0"/>
              <w:left w:val="single" w:color="auto" w:sz="4" w:space="0"/>
              <w:bottom w:val="single" w:color="auto" w:sz="4" w:space="0"/>
            </w:tcBorders>
            <w:vAlign w:val="center"/>
          </w:tcPr>
          <w:p w14:paraId="6C74F4EC">
            <w:pPr>
              <w:snapToGrid w:val="0"/>
              <w:spacing w:line="240" w:lineRule="atLeast"/>
              <w:jc w:val="center"/>
              <w:rPr>
                <w:rFonts w:ascii="宋体" w:cs="Times New Roman"/>
              </w:rPr>
            </w:pPr>
          </w:p>
        </w:tc>
      </w:tr>
      <w:tr w14:paraId="4A974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7" w:hRule="exact"/>
          <w:jc w:val="center"/>
        </w:trPr>
        <w:tc>
          <w:tcPr>
            <w:tcW w:w="9023" w:type="dxa"/>
            <w:gridSpan w:val="4"/>
            <w:tcBorders>
              <w:left w:val="single" w:color="000000" w:sz="4" w:space="0"/>
              <w:bottom w:val="single" w:color="auto" w:sz="4" w:space="0"/>
            </w:tcBorders>
            <w:vAlign w:val="center"/>
          </w:tcPr>
          <w:p w14:paraId="5A115386">
            <w:pPr>
              <w:snapToGrid w:val="0"/>
              <w:spacing w:line="240" w:lineRule="atLeast"/>
              <w:ind w:firstLine="420" w:firstLineChars="200"/>
              <w:jc w:val="left"/>
              <w:rPr>
                <w:rFonts w:ascii="宋体" w:cs="Times New Roman"/>
              </w:rPr>
            </w:pPr>
            <w:r>
              <w:rPr>
                <w:rFonts w:hint="eastAsia" w:ascii="宋体" w:hAnsi="宋体" w:cs="宋体"/>
              </w:rPr>
              <w:t>以上业绩应以合同及中标通知书原件为准，否则不得分。各项均可累计计分，计满为止。资信业绩分评审时由评委集体讨论打分。</w:t>
            </w:r>
          </w:p>
        </w:tc>
      </w:tr>
    </w:tbl>
    <w:p w14:paraId="0564ACDB">
      <w:pPr>
        <w:snapToGrid w:val="0"/>
        <w:spacing w:line="640" w:lineRule="atLeas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技术标得分标准（</w:t>
      </w:r>
      <w:r>
        <w:rPr>
          <w:rFonts w:ascii="仿宋_GB2312" w:hAnsi="仿宋" w:eastAsia="仿宋_GB2312" w:cs="仿宋_GB2312"/>
          <w:sz w:val="32"/>
          <w:szCs w:val="32"/>
        </w:rPr>
        <w:t>75</w:t>
      </w:r>
      <w:r>
        <w:rPr>
          <w:rFonts w:hint="eastAsia" w:ascii="仿宋_GB2312" w:hAnsi="仿宋" w:eastAsia="仿宋_GB2312" w:cs="仿宋_GB2312"/>
          <w:sz w:val="32"/>
          <w:szCs w:val="32"/>
        </w:rPr>
        <w:t>分）</w:t>
      </w:r>
    </w:p>
    <w:p w14:paraId="2AC31FC0">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）工程特点及难点（</w:t>
      </w:r>
      <w:r>
        <w:rPr>
          <w:rFonts w:ascii="仿宋_GB2312" w:hAnsi="仿宋" w:eastAsia="仿宋_GB2312" w:cs="仿宋_GB2312"/>
          <w:sz w:val="32"/>
          <w:szCs w:val="32"/>
        </w:rPr>
        <w:t>8</w:t>
      </w:r>
      <w:r>
        <w:rPr>
          <w:rFonts w:hint="eastAsia" w:ascii="仿宋_GB2312" w:hAnsi="仿宋" w:eastAsia="仿宋_GB2312" w:cs="仿宋_GB2312"/>
          <w:sz w:val="32"/>
          <w:szCs w:val="32"/>
        </w:rPr>
        <w:t>分）</w:t>
      </w:r>
    </w:p>
    <w:p w14:paraId="58973885">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评标委员会对进入详细评审的投标文件进行横向比较，并排序，投标人排序相同时得分相同。</w:t>
      </w:r>
    </w:p>
    <w:p w14:paraId="180C6A4F">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投标人能准确把握工程特点及难点，横向排序排名第一的得</w:t>
      </w:r>
      <w:r>
        <w:rPr>
          <w:rFonts w:ascii="仿宋_GB2312" w:hAnsi="仿宋" w:eastAsia="仿宋_GB2312" w:cs="仿宋_GB2312"/>
          <w:sz w:val="32"/>
          <w:szCs w:val="32"/>
        </w:rPr>
        <w:t>8</w:t>
      </w:r>
      <w:r>
        <w:rPr>
          <w:rFonts w:hint="eastAsia" w:ascii="仿宋_GB2312" w:hAnsi="仿宋" w:eastAsia="仿宋_GB2312" w:cs="仿宋_GB2312"/>
          <w:sz w:val="32"/>
          <w:szCs w:val="32"/>
        </w:rPr>
        <w:t>分，横向排序排名第二的得</w:t>
      </w:r>
      <w:r>
        <w:rPr>
          <w:rFonts w:ascii="仿宋_GB2312" w:hAnsi="仿宋" w:eastAsia="仿宋_GB2312" w:cs="仿宋_GB2312"/>
          <w:sz w:val="32"/>
          <w:szCs w:val="32"/>
        </w:rPr>
        <w:t>6</w:t>
      </w:r>
      <w:r>
        <w:rPr>
          <w:rFonts w:hint="eastAsia" w:ascii="仿宋_GB2312" w:hAnsi="仿宋" w:eastAsia="仿宋_GB2312" w:cs="仿宋_GB2312"/>
          <w:sz w:val="32"/>
          <w:szCs w:val="32"/>
        </w:rPr>
        <w:t>分，横向排序排名第三的得</w:t>
      </w:r>
      <w:r>
        <w:rPr>
          <w:rFonts w:ascii="仿宋_GB2312" w:hAnsi="仿宋" w:eastAsia="仿宋_GB2312" w:cs="仿宋_GB2312"/>
          <w:sz w:val="32"/>
          <w:szCs w:val="32"/>
        </w:rPr>
        <w:t>4</w:t>
      </w:r>
      <w:r>
        <w:rPr>
          <w:rFonts w:hint="eastAsia" w:ascii="仿宋_GB2312" w:hAnsi="仿宋" w:eastAsia="仿宋_GB2312" w:cs="仿宋_GB2312"/>
          <w:sz w:val="32"/>
          <w:szCs w:val="32"/>
        </w:rPr>
        <w:t>分，其余均得</w:t>
      </w:r>
      <w:r>
        <w:rPr>
          <w:rFonts w:ascii="仿宋_GB2312" w:hAnsi="仿宋" w:eastAsia="仿宋_GB2312" w:cs="仿宋_GB2312"/>
          <w:sz w:val="32"/>
          <w:szCs w:val="32"/>
        </w:rPr>
        <w:t>1</w:t>
      </w:r>
      <w:r>
        <w:rPr>
          <w:rFonts w:hint="eastAsia" w:ascii="仿宋_GB2312" w:hAnsi="仿宋" w:eastAsia="仿宋_GB2312" w:cs="仿宋_GB2312"/>
          <w:sz w:val="32"/>
          <w:szCs w:val="32"/>
        </w:rPr>
        <w:t>分。</w:t>
      </w:r>
    </w:p>
    <w:p w14:paraId="4BEC5387">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）监理工作重点、难点分析及监理对策（</w:t>
      </w:r>
      <w:r>
        <w:rPr>
          <w:rFonts w:ascii="仿宋_GB2312" w:hAnsi="仿宋" w:eastAsia="仿宋_GB2312" w:cs="仿宋_GB2312"/>
          <w:sz w:val="32"/>
          <w:szCs w:val="32"/>
        </w:rPr>
        <w:t>10</w:t>
      </w:r>
      <w:r>
        <w:rPr>
          <w:rFonts w:hint="eastAsia" w:ascii="仿宋_GB2312" w:hAnsi="仿宋" w:eastAsia="仿宋_GB2312" w:cs="仿宋_GB2312"/>
          <w:sz w:val="32"/>
          <w:szCs w:val="32"/>
        </w:rPr>
        <w:t>分）</w:t>
      </w:r>
    </w:p>
    <w:p w14:paraId="32BB88C6">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评标委员会对进入详细评审的投标文件进行横向比较，并排序，投标人排序相同时得分相同。</w:t>
      </w:r>
    </w:p>
    <w:p w14:paraId="1F5EF511">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投标人能准确把握工程重点、难点，有科学、可行、针对性的监理对策，横向排序排名第一的得</w:t>
      </w:r>
      <w:r>
        <w:rPr>
          <w:rFonts w:ascii="仿宋_GB2312" w:hAnsi="仿宋" w:eastAsia="仿宋_GB2312" w:cs="仿宋_GB2312"/>
          <w:sz w:val="32"/>
          <w:szCs w:val="32"/>
        </w:rPr>
        <w:t>10</w:t>
      </w:r>
      <w:r>
        <w:rPr>
          <w:rFonts w:hint="eastAsia" w:ascii="仿宋_GB2312" w:hAnsi="仿宋" w:eastAsia="仿宋_GB2312" w:cs="仿宋_GB2312"/>
          <w:sz w:val="32"/>
          <w:szCs w:val="32"/>
        </w:rPr>
        <w:t>分，横向排序排名第二的得</w:t>
      </w:r>
      <w:r>
        <w:rPr>
          <w:rFonts w:ascii="仿宋_GB2312" w:hAnsi="仿宋" w:eastAsia="仿宋_GB2312" w:cs="仿宋_GB2312"/>
          <w:sz w:val="32"/>
          <w:szCs w:val="32"/>
        </w:rPr>
        <w:t>8</w:t>
      </w:r>
      <w:r>
        <w:rPr>
          <w:rFonts w:hint="eastAsia" w:ascii="仿宋_GB2312" w:hAnsi="仿宋" w:eastAsia="仿宋_GB2312" w:cs="仿宋_GB2312"/>
          <w:sz w:val="32"/>
          <w:szCs w:val="32"/>
        </w:rPr>
        <w:t>分，横向排序排名第三的得</w:t>
      </w:r>
      <w:r>
        <w:rPr>
          <w:rFonts w:ascii="仿宋_GB2312" w:hAnsi="仿宋" w:eastAsia="仿宋_GB2312" w:cs="仿宋_GB2312"/>
          <w:sz w:val="32"/>
          <w:szCs w:val="32"/>
        </w:rPr>
        <w:t>6</w:t>
      </w:r>
      <w:r>
        <w:rPr>
          <w:rFonts w:hint="eastAsia" w:ascii="仿宋_GB2312" w:hAnsi="仿宋" w:eastAsia="仿宋_GB2312" w:cs="仿宋_GB2312"/>
          <w:sz w:val="32"/>
          <w:szCs w:val="32"/>
        </w:rPr>
        <w:t>分，其余均得</w:t>
      </w:r>
      <w:r>
        <w:rPr>
          <w:rFonts w:ascii="仿宋_GB2312" w:hAnsi="仿宋" w:eastAsia="仿宋_GB2312" w:cs="仿宋_GB2312"/>
          <w:sz w:val="32"/>
          <w:szCs w:val="32"/>
        </w:rPr>
        <w:t>1</w:t>
      </w:r>
      <w:r>
        <w:rPr>
          <w:rFonts w:hint="eastAsia" w:ascii="仿宋_GB2312" w:hAnsi="仿宋" w:eastAsia="仿宋_GB2312" w:cs="仿宋_GB2312"/>
          <w:sz w:val="32"/>
          <w:szCs w:val="32"/>
        </w:rPr>
        <w:t>分。</w:t>
      </w:r>
    </w:p>
    <w:p w14:paraId="529750D3">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）合理化建议（</w:t>
      </w:r>
      <w:r>
        <w:rPr>
          <w:rFonts w:ascii="仿宋_GB2312" w:hAnsi="仿宋" w:eastAsia="仿宋_GB2312" w:cs="仿宋_GB2312"/>
          <w:sz w:val="32"/>
          <w:szCs w:val="32"/>
        </w:rPr>
        <w:t>8</w:t>
      </w:r>
      <w:r>
        <w:rPr>
          <w:rFonts w:hint="eastAsia" w:ascii="仿宋_GB2312" w:hAnsi="仿宋" w:eastAsia="仿宋_GB2312" w:cs="仿宋_GB2312"/>
          <w:sz w:val="32"/>
          <w:szCs w:val="32"/>
        </w:rPr>
        <w:t>分）</w:t>
      </w:r>
    </w:p>
    <w:p w14:paraId="0E20152C">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评标委员会对进入详细评审的投标文件进行横向比较，并排序，投标人排序相同时得分相同。</w:t>
      </w:r>
    </w:p>
    <w:p w14:paraId="3FDEB145">
      <w:pPr>
        <w:snapToGrid w:val="0"/>
        <w:spacing w:line="64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投标人能提出有利于本工程节约投资、保证工程质量、缩短工期等合理化建议，横向排序排名第一的得</w:t>
      </w:r>
      <w:r>
        <w:rPr>
          <w:rFonts w:ascii="仿宋_GB2312" w:hAnsi="仿宋" w:eastAsia="仿宋_GB2312" w:cs="仿宋_GB2312"/>
          <w:sz w:val="32"/>
          <w:szCs w:val="32"/>
        </w:rPr>
        <w:t>8</w:t>
      </w:r>
      <w:r>
        <w:rPr>
          <w:rFonts w:hint="eastAsia" w:ascii="仿宋_GB2312" w:hAnsi="仿宋" w:eastAsia="仿宋_GB2312" w:cs="仿宋_GB2312"/>
          <w:sz w:val="32"/>
          <w:szCs w:val="32"/>
        </w:rPr>
        <w:t>分，横向排序排名第二的得</w:t>
      </w:r>
      <w:r>
        <w:rPr>
          <w:rFonts w:ascii="仿宋_GB2312" w:hAnsi="仿宋" w:eastAsia="仿宋_GB2312" w:cs="仿宋_GB2312"/>
          <w:sz w:val="32"/>
          <w:szCs w:val="32"/>
        </w:rPr>
        <w:t>6</w:t>
      </w:r>
      <w:r>
        <w:rPr>
          <w:rFonts w:hint="eastAsia" w:ascii="仿宋_GB2312" w:hAnsi="仿宋" w:eastAsia="仿宋_GB2312" w:cs="仿宋_GB2312"/>
          <w:sz w:val="32"/>
          <w:szCs w:val="32"/>
        </w:rPr>
        <w:t>分，横向排序排名第三的得</w:t>
      </w:r>
      <w:r>
        <w:rPr>
          <w:rFonts w:ascii="仿宋_GB2312" w:hAnsi="仿宋" w:eastAsia="仿宋_GB2312" w:cs="仿宋_GB2312"/>
          <w:sz w:val="32"/>
          <w:szCs w:val="32"/>
        </w:rPr>
        <w:t>4</w:t>
      </w:r>
      <w:r>
        <w:rPr>
          <w:rFonts w:hint="eastAsia" w:ascii="仿宋_GB2312" w:hAnsi="仿宋" w:eastAsia="仿宋_GB2312" w:cs="仿宋_GB2312"/>
          <w:sz w:val="32"/>
          <w:szCs w:val="32"/>
        </w:rPr>
        <w:t>分，其余均得</w:t>
      </w:r>
      <w:r>
        <w:rPr>
          <w:rFonts w:ascii="仿宋_GB2312" w:hAnsi="仿宋" w:eastAsia="仿宋_GB2312" w:cs="仿宋_GB2312"/>
          <w:sz w:val="32"/>
          <w:szCs w:val="32"/>
        </w:rPr>
        <w:t>1</w:t>
      </w:r>
      <w:r>
        <w:rPr>
          <w:rFonts w:hint="eastAsia" w:ascii="仿宋_GB2312" w:hAnsi="仿宋" w:eastAsia="仿宋_GB2312" w:cs="仿宋_GB2312"/>
          <w:sz w:val="32"/>
          <w:szCs w:val="32"/>
        </w:rPr>
        <w:t>分。</w:t>
      </w:r>
      <w:bookmarkStart w:id="3" w:name="_Hlk115335574"/>
    </w:p>
    <w:p w14:paraId="75100F6F">
      <w:pPr>
        <w:snapToGrid w:val="0"/>
        <w:spacing w:line="640" w:lineRule="atLeast"/>
        <w:ind w:firstLine="640" w:firstLineChars="200"/>
        <w:rPr>
          <w:rFonts w:ascii="仿宋_GB2312" w:eastAsia="仿宋_GB2312" w:cs="Times New Roman"/>
          <w:color w:val="000000"/>
          <w:sz w:val="32"/>
          <w:szCs w:val="32"/>
        </w:rPr>
      </w:pPr>
      <w:r>
        <w:rPr>
          <w:rFonts w:hint="eastAsia" w:ascii="仿宋_GB2312" w:hAnsi="仿宋" w:eastAsia="仿宋_GB2312" w:cs="仿宋_GB2312"/>
          <w:sz w:val="32"/>
          <w:szCs w:val="32"/>
        </w:rPr>
        <w:t>（</w:t>
      </w:r>
      <w:r>
        <w:rPr>
          <w:rFonts w:ascii="仿宋_GB2312" w:eastAsia="仿宋_GB2312" w:cs="仿宋_GB2312"/>
          <w:color w:val="000000"/>
          <w:sz w:val="32"/>
          <w:szCs w:val="32"/>
        </w:rPr>
        <w:t>4</w:t>
      </w:r>
      <w:r>
        <w:rPr>
          <w:rFonts w:hint="eastAsia" w:ascii="仿宋_GB2312" w:eastAsia="仿宋_GB2312" w:cs="仿宋_GB2312"/>
          <w:color w:val="000000"/>
          <w:sz w:val="32"/>
          <w:szCs w:val="32"/>
        </w:rPr>
        <w:t>）项目监理组织机构和岗位职责（</w:t>
      </w:r>
      <w:r>
        <w:rPr>
          <w:rFonts w:ascii="仿宋_GB2312" w:eastAsia="仿宋_GB2312" w:cs="仿宋_GB2312"/>
          <w:color w:val="000000"/>
          <w:sz w:val="32"/>
          <w:szCs w:val="32"/>
        </w:rPr>
        <w:t>6</w:t>
      </w:r>
      <w:r>
        <w:rPr>
          <w:rFonts w:hint="eastAsia" w:ascii="仿宋_GB2312" w:eastAsia="仿宋_GB2312" w:cs="仿宋_GB2312"/>
          <w:color w:val="000000"/>
          <w:sz w:val="32"/>
          <w:szCs w:val="32"/>
        </w:rPr>
        <w:t>分）</w:t>
      </w:r>
    </w:p>
    <w:p w14:paraId="592A443E">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①项目监理机构组织形式符合工程特点，职能划分明确，得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14D2298F">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②各级监理人员岗位职责完善明确得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分，基本完善得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682E040B">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③投入本项目的监理人员专业、技术职称及年龄结构搭配合理，符合工程需要得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分，基本合理得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773E5224">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④有完善的监理工作制度得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分，基本完善得</w:t>
      </w:r>
      <w:r>
        <w:rPr>
          <w:rFonts w:ascii="仿宋_GB2312" w:eastAsia="仿宋_GB2312" w:cs="仿宋_GB2312"/>
          <w:color w:val="000000"/>
          <w:sz w:val="32"/>
          <w:szCs w:val="32"/>
        </w:rPr>
        <w:t>0.5</w:t>
      </w:r>
      <w:r>
        <w:rPr>
          <w:rFonts w:hint="eastAsia" w:ascii="仿宋_GB2312" w:eastAsia="仿宋_GB2312" w:cs="仿宋_GB2312"/>
          <w:color w:val="000000"/>
          <w:sz w:val="32"/>
          <w:szCs w:val="32"/>
        </w:rPr>
        <w:t>分，否则不得分。</w:t>
      </w:r>
    </w:p>
    <w:bookmarkEnd w:id="3"/>
    <w:p w14:paraId="17C11973">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5</w:t>
      </w:r>
      <w:r>
        <w:rPr>
          <w:rFonts w:hint="eastAsia" w:ascii="仿宋_GB2312" w:eastAsia="仿宋_GB2312" w:cs="仿宋_GB2312"/>
          <w:color w:val="000000"/>
          <w:sz w:val="32"/>
          <w:szCs w:val="32"/>
        </w:rPr>
        <w:t>）质量控制（</w:t>
      </w:r>
      <w:r>
        <w:rPr>
          <w:rFonts w:ascii="仿宋_GB2312" w:eastAsia="仿宋_GB2312" w:cs="仿宋_GB2312"/>
          <w:color w:val="000000"/>
          <w:sz w:val="32"/>
          <w:szCs w:val="32"/>
        </w:rPr>
        <w:t>10</w:t>
      </w:r>
      <w:r>
        <w:rPr>
          <w:rFonts w:hint="eastAsia" w:ascii="仿宋_GB2312" w:eastAsia="仿宋_GB2312" w:cs="仿宋_GB2312"/>
          <w:color w:val="000000"/>
          <w:sz w:val="32"/>
          <w:szCs w:val="32"/>
        </w:rPr>
        <w:t>分）</w:t>
      </w:r>
    </w:p>
    <w:p w14:paraId="39C478B9">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①质量控制内容齐全、重点突出得</w:t>
      </w:r>
      <w:r>
        <w:rPr>
          <w:rFonts w:ascii="仿宋_GB2312" w:eastAsia="仿宋_GB2312" w:cs="仿宋_GB2312"/>
          <w:color w:val="000000"/>
          <w:sz w:val="32"/>
          <w:szCs w:val="32"/>
        </w:rPr>
        <w:t>3</w:t>
      </w:r>
      <w:r>
        <w:rPr>
          <w:rFonts w:hint="eastAsia" w:ascii="仿宋_GB2312" w:eastAsia="仿宋_GB2312" w:cs="仿宋_GB2312"/>
          <w:color w:val="000000"/>
          <w:sz w:val="32"/>
          <w:szCs w:val="32"/>
        </w:rPr>
        <w:t>分，有主要内容、重点不够突出得</w:t>
      </w:r>
      <w:r>
        <w:rPr>
          <w:rFonts w:ascii="仿宋_GB2312" w:eastAsia="仿宋_GB2312" w:cs="仿宋_GB2312"/>
          <w:color w:val="000000"/>
          <w:sz w:val="32"/>
          <w:szCs w:val="32"/>
        </w:rPr>
        <w:t>1.5</w:t>
      </w:r>
      <w:r>
        <w:rPr>
          <w:rFonts w:hint="eastAsia" w:ascii="仿宋_GB2312" w:eastAsia="仿宋_GB2312" w:cs="仿宋_GB2312"/>
          <w:color w:val="000000"/>
          <w:sz w:val="32"/>
          <w:szCs w:val="32"/>
        </w:rPr>
        <w:t>分，否则不得分；</w:t>
      </w:r>
    </w:p>
    <w:p w14:paraId="4BC30CC0">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②质量控制程序正确，得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分，基本正确得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1B9E6C9A">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③质量控制方法正确，得</w:t>
      </w:r>
      <w:r>
        <w:rPr>
          <w:rFonts w:ascii="仿宋_GB2312" w:eastAsia="仿宋_GB2312" w:cs="仿宋_GB2312"/>
          <w:color w:val="000000"/>
          <w:sz w:val="32"/>
          <w:szCs w:val="32"/>
        </w:rPr>
        <w:t>3</w:t>
      </w:r>
      <w:r>
        <w:rPr>
          <w:rFonts w:hint="eastAsia" w:ascii="仿宋_GB2312" w:eastAsia="仿宋_GB2312" w:cs="仿宋_GB2312"/>
          <w:color w:val="000000"/>
          <w:sz w:val="32"/>
          <w:szCs w:val="32"/>
        </w:rPr>
        <w:t>分，基本正确得</w:t>
      </w:r>
      <w:r>
        <w:rPr>
          <w:rFonts w:ascii="仿宋_GB2312" w:eastAsia="仿宋_GB2312" w:cs="仿宋_GB2312"/>
          <w:color w:val="000000"/>
          <w:sz w:val="32"/>
          <w:szCs w:val="32"/>
        </w:rPr>
        <w:t>1.5</w:t>
      </w:r>
      <w:r>
        <w:rPr>
          <w:rFonts w:hint="eastAsia" w:ascii="仿宋_GB2312" w:eastAsia="仿宋_GB2312" w:cs="仿宋_GB2312"/>
          <w:color w:val="000000"/>
          <w:sz w:val="32"/>
          <w:szCs w:val="32"/>
        </w:rPr>
        <w:t>分，否则不得分；</w:t>
      </w:r>
    </w:p>
    <w:p w14:paraId="1CC84F15">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④质量控制措施得力，得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分，控制措施一般，得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59EE0429">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6</w:t>
      </w:r>
      <w:r>
        <w:rPr>
          <w:rFonts w:hint="eastAsia" w:ascii="仿宋_GB2312" w:eastAsia="仿宋_GB2312" w:cs="仿宋_GB2312"/>
          <w:color w:val="000000"/>
          <w:sz w:val="32"/>
          <w:szCs w:val="32"/>
        </w:rPr>
        <w:t>）投资控制（</w:t>
      </w:r>
      <w:r>
        <w:rPr>
          <w:rFonts w:ascii="仿宋_GB2312" w:eastAsia="仿宋_GB2312" w:cs="仿宋_GB2312"/>
          <w:color w:val="000000"/>
          <w:sz w:val="32"/>
          <w:szCs w:val="32"/>
        </w:rPr>
        <w:t>8</w:t>
      </w:r>
      <w:r>
        <w:rPr>
          <w:rFonts w:hint="eastAsia" w:ascii="仿宋_GB2312" w:eastAsia="仿宋_GB2312" w:cs="仿宋_GB2312"/>
          <w:color w:val="000000"/>
          <w:sz w:val="32"/>
          <w:szCs w:val="32"/>
        </w:rPr>
        <w:t>分）</w:t>
      </w:r>
    </w:p>
    <w:p w14:paraId="40F7A489">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①投资控制内容齐全能针对项目特点得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分，基本正确得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71F596DB">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②投资控制程序正确得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分，基本正确得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295EC66A">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③投资控制方法正确得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分，基本正确得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4CBCB21C">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④投资控制措施得力，能运用组织、技术、经济、合同措施确保实现投资控制目标得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分，措施不全，每缺一项扣</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21A908ED">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7</w:t>
      </w:r>
      <w:r>
        <w:rPr>
          <w:rFonts w:hint="eastAsia" w:ascii="仿宋_GB2312" w:eastAsia="仿宋_GB2312" w:cs="仿宋_GB2312"/>
          <w:color w:val="000000"/>
          <w:sz w:val="32"/>
          <w:szCs w:val="32"/>
        </w:rPr>
        <w:t>）进度控制（</w:t>
      </w:r>
      <w:r>
        <w:rPr>
          <w:rFonts w:ascii="仿宋_GB2312" w:eastAsia="仿宋_GB2312" w:cs="仿宋_GB2312"/>
          <w:color w:val="000000"/>
          <w:sz w:val="32"/>
          <w:szCs w:val="32"/>
        </w:rPr>
        <w:t>8</w:t>
      </w:r>
      <w:r>
        <w:rPr>
          <w:rFonts w:hint="eastAsia" w:ascii="仿宋_GB2312" w:eastAsia="仿宋_GB2312" w:cs="仿宋_GB2312"/>
          <w:color w:val="000000"/>
          <w:sz w:val="32"/>
          <w:szCs w:val="32"/>
        </w:rPr>
        <w:t>分）</w:t>
      </w:r>
    </w:p>
    <w:p w14:paraId="32230CB0">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①</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进度控制内容齐全得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分，基本齐全得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3700A130">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②进度控制程序正确得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分，基本正确得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37774EC5">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③进度控制方法正确得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分，基本正确得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2721BCFE">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④进度控制措施得力得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分，一般得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0AF697EC">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8</w:t>
      </w:r>
      <w:r>
        <w:rPr>
          <w:rFonts w:hint="eastAsia" w:ascii="仿宋_GB2312" w:eastAsia="仿宋_GB2312" w:cs="仿宋_GB2312"/>
          <w:color w:val="000000"/>
          <w:sz w:val="32"/>
          <w:szCs w:val="32"/>
        </w:rPr>
        <w:t>）合同管理（</w:t>
      </w:r>
      <w:r>
        <w:rPr>
          <w:rFonts w:ascii="仿宋_GB2312" w:eastAsia="仿宋_GB2312" w:cs="仿宋_GB2312"/>
          <w:color w:val="000000"/>
          <w:sz w:val="32"/>
          <w:szCs w:val="32"/>
        </w:rPr>
        <w:t>4</w:t>
      </w:r>
      <w:r>
        <w:rPr>
          <w:rFonts w:hint="eastAsia" w:ascii="仿宋_GB2312" w:eastAsia="仿宋_GB2312" w:cs="仿宋_GB2312"/>
          <w:color w:val="000000"/>
          <w:sz w:val="32"/>
          <w:szCs w:val="32"/>
        </w:rPr>
        <w:t>分）</w:t>
      </w:r>
    </w:p>
    <w:p w14:paraId="2CC81314">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①合同管理内容齐全，能根据合同具体条款，公正调解合同纠纷，公正处理合同索赔得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分，一般得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0732F730">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②处理合同适宜程序正确得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分，一般得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11F42490">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9</w:t>
      </w:r>
      <w:r>
        <w:rPr>
          <w:rFonts w:hint="eastAsia" w:ascii="仿宋_GB2312" w:eastAsia="仿宋_GB2312" w:cs="仿宋_GB2312"/>
          <w:color w:val="000000"/>
          <w:sz w:val="32"/>
          <w:szCs w:val="32"/>
        </w:rPr>
        <w:t>）现场协调（</w:t>
      </w:r>
      <w:r>
        <w:rPr>
          <w:rFonts w:ascii="仿宋_GB2312" w:eastAsia="仿宋_GB2312" w:cs="仿宋_GB2312"/>
          <w:color w:val="000000"/>
          <w:sz w:val="32"/>
          <w:szCs w:val="32"/>
        </w:rPr>
        <w:t>4</w:t>
      </w:r>
      <w:r>
        <w:rPr>
          <w:rFonts w:hint="eastAsia" w:ascii="仿宋_GB2312" w:eastAsia="仿宋_GB2312" w:cs="仿宋_GB2312"/>
          <w:color w:val="000000"/>
          <w:sz w:val="32"/>
          <w:szCs w:val="32"/>
        </w:rPr>
        <w:t>分）</w:t>
      </w:r>
    </w:p>
    <w:p w14:paraId="168BCBA0">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①有完善的现场协调制度，能准确把握各方面关系得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分，一般得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4D8B05F1">
      <w:pPr>
        <w:snapToGrid w:val="0"/>
        <w:spacing w:line="640" w:lineRule="atLeast"/>
        <w:ind w:firstLine="640" w:firstLineChars="200"/>
        <w:rPr>
          <w:rFonts w:ascii="仿宋_GB2312" w:eastAsia="仿宋_GB2312" w:cs="Times New Roman"/>
          <w:color w:val="000000"/>
          <w:sz w:val="32"/>
          <w:szCs w:val="32"/>
        </w:rPr>
      </w:pPr>
      <w:bookmarkStart w:id="4" w:name="_Hlk115332112"/>
      <w:r>
        <w:rPr>
          <w:rFonts w:hint="eastAsia" w:ascii="仿宋_GB2312" w:eastAsia="仿宋_GB2312" w:cs="仿宋_GB2312"/>
          <w:color w:val="000000"/>
          <w:sz w:val="32"/>
          <w:szCs w:val="32"/>
        </w:rPr>
        <w:t>②协调方法正确，措施得力得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分，一般得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bookmarkEnd w:id="4"/>
    <w:p w14:paraId="6FA6AFD2">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10</w:t>
      </w:r>
      <w:r>
        <w:rPr>
          <w:rFonts w:hint="eastAsia" w:ascii="仿宋_GB2312" w:eastAsia="仿宋_GB2312" w:cs="仿宋_GB2312"/>
          <w:color w:val="000000"/>
          <w:sz w:val="32"/>
          <w:szCs w:val="32"/>
        </w:rPr>
        <w:t>）环境保护、文明施工和安全管理（</w:t>
      </w:r>
      <w:r>
        <w:rPr>
          <w:rFonts w:ascii="仿宋_GB2312" w:eastAsia="仿宋_GB2312" w:cs="仿宋_GB2312"/>
          <w:color w:val="000000"/>
          <w:sz w:val="32"/>
          <w:szCs w:val="32"/>
        </w:rPr>
        <w:t>5</w:t>
      </w:r>
      <w:r>
        <w:rPr>
          <w:rFonts w:hint="eastAsia" w:ascii="仿宋_GB2312" w:eastAsia="仿宋_GB2312" w:cs="仿宋_GB2312"/>
          <w:color w:val="000000"/>
          <w:sz w:val="32"/>
          <w:szCs w:val="32"/>
        </w:rPr>
        <w:t>分）</w:t>
      </w:r>
    </w:p>
    <w:p w14:paraId="3552C597">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①施工安全监理</w:t>
      </w:r>
    </w:p>
    <w:p w14:paraId="30464411">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）施工安全监理内容明确，得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w:t>
      </w:r>
      <w:bookmarkStart w:id="5" w:name="_Hlk115332156"/>
      <w:r>
        <w:rPr>
          <w:rFonts w:hint="eastAsia" w:ascii="仿宋_GB2312" w:eastAsia="仿宋_GB2312" w:cs="仿宋_GB2312"/>
          <w:color w:val="000000"/>
          <w:sz w:val="32"/>
          <w:szCs w:val="32"/>
        </w:rPr>
        <w:t>否则不得分；</w:t>
      </w:r>
      <w:bookmarkEnd w:id="5"/>
    </w:p>
    <w:p w14:paraId="332B5E5A">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）施工和安全管理方法正确，得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p>
    <w:p w14:paraId="7D72D01F">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）安全管理的监理措施合理可行得</w:t>
      </w:r>
      <w:r>
        <w:rPr>
          <w:rFonts w:ascii="仿宋_GB2312" w:eastAsia="仿宋_GB2312" w:cs="仿宋_GB2312"/>
          <w:color w:val="000000"/>
          <w:sz w:val="32"/>
          <w:szCs w:val="32"/>
        </w:rPr>
        <w:t>0.5</w:t>
      </w:r>
      <w:r>
        <w:rPr>
          <w:rFonts w:hint="eastAsia" w:ascii="仿宋_GB2312" w:eastAsia="仿宋_GB2312" w:cs="仿宋_GB2312"/>
          <w:color w:val="000000"/>
          <w:sz w:val="32"/>
          <w:szCs w:val="32"/>
        </w:rPr>
        <w:t>分，否则不得分；</w:t>
      </w:r>
    </w:p>
    <w:p w14:paraId="57855CD5">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rPr>
        <w:t>）危险性较大的分部分项工程的安全管理，有针对性的监理措施得</w:t>
      </w:r>
      <w:r>
        <w:rPr>
          <w:rFonts w:ascii="仿宋_GB2312" w:eastAsia="仿宋_GB2312" w:cs="仿宋_GB2312"/>
          <w:color w:val="000000"/>
          <w:sz w:val="32"/>
          <w:szCs w:val="32"/>
        </w:rPr>
        <w:t>0.5</w:t>
      </w:r>
      <w:r>
        <w:rPr>
          <w:rFonts w:hint="eastAsia" w:ascii="仿宋_GB2312" w:eastAsia="仿宋_GB2312" w:cs="仿宋_GB2312"/>
          <w:color w:val="000000"/>
          <w:sz w:val="32"/>
          <w:szCs w:val="32"/>
        </w:rPr>
        <w:t>分，否则不得分；</w:t>
      </w:r>
    </w:p>
    <w:p w14:paraId="3C468394">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②绿色节能施工的监理</w:t>
      </w:r>
    </w:p>
    <w:p w14:paraId="4450C6FA">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）绿色节能施工监理的内容明确，</w:t>
      </w:r>
      <w:bookmarkStart w:id="6" w:name="_Hlk115332193"/>
      <w:r>
        <w:rPr>
          <w:rFonts w:hint="eastAsia" w:ascii="仿宋_GB2312" w:eastAsia="仿宋_GB2312" w:cs="仿宋_GB2312"/>
          <w:color w:val="000000"/>
          <w:sz w:val="32"/>
          <w:szCs w:val="32"/>
        </w:rPr>
        <w:t>得</w:t>
      </w:r>
      <w:bookmarkStart w:id="7" w:name="_Hlk115332187"/>
      <w:r>
        <w:rPr>
          <w:rFonts w:ascii="仿宋_GB2312" w:eastAsia="仿宋_GB2312" w:cs="仿宋_GB2312"/>
          <w:color w:val="000000"/>
          <w:sz w:val="32"/>
          <w:szCs w:val="32"/>
        </w:rPr>
        <w:t>0.5</w:t>
      </w:r>
      <w:bookmarkEnd w:id="7"/>
      <w:r>
        <w:rPr>
          <w:rFonts w:hint="eastAsia" w:ascii="仿宋_GB2312" w:eastAsia="仿宋_GB2312" w:cs="仿宋_GB2312"/>
          <w:color w:val="000000"/>
          <w:sz w:val="32"/>
          <w:szCs w:val="32"/>
        </w:rPr>
        <w:t>分，否则不得分；</w:t>
      </w:r>
    </w:p>
    <w:bookmarkEnd w:id="6"/>
    <w:p w14:paraId="28F2CDC8">
      <w:pPr>
        <w:snapToGrid w:val="0"/>
        <w:spacing w:line="640" w:lineRule="atLeas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）绿色节能施工监理的方法正确，得</w:t>
      </w:r>
      <w:r>
        <w:rPr>
          <w:rFonts w:ascii="仿宋_GB2312" w:eastAsia="仿宋_GB2312" w:cs="仿宋_GB2312"/>
          <w:color w:val="000000"/>
          <w:sz w:val="32"/>
          <w:szCs w:val="32"/>
        </w:rPr>
        <w:t>0.5</w:t>
      </w:r>
      <w:r>
        <w:rPr>
          <w:rFonts w:hint="eastAsia" w:ascii="仿宋_GB2312" w:eastAsia="仿宋_GB2312" w:cs="仿宋_GB2312"/>
          <w:color w:val="000000"/>
          <w:sz w:val="32"/>
          <w:szCs w:val="32"/>
        </w:rPr>
        <w:t>分，否则不得分；</w:t>
      </w:r>
    </w:p>
    <w:p w14:paraId="525215F2">
      <w:pPr>
        <w:snapToGrid w:val="0"/>
        <w:spacing w:line="640" w:lineRule="atLeast"/>
        <w:ind w:firstLine="640" w:firstLineChars="200"/>
        <w:rPr>
          <w:rFonts w:ascii="仿宋_GB2312" w:eastAsia="仿宋_GB2312" w:cs="Times New Roman"/>
          <w:color w:val="000000"/>
          <w:sz w:val="32"/>
          <w:szCs w:val="32"/>
        </w:rPr>
      </w:pPr>
      <w:bookmarkStart w:id="8" w:name="_Hlk115332205"/>
      <w:r>
        <w:rPr>
          <w:rFonts w:ascii="仿宋_GB2312" w:eastAsia="仿宋_GB2312" w:cs="仿宋_GB2312"/>
          <w:color w:val="000000"/>
          <w:sz w:val="32"/>
          <w:szCs w:val="32"/>
        </w:rPr>
        <w:t>3</w:t>
      </w:r>
      <w:r>
        <w:rPr>
          <w:rFonts w:hint="eastAsia" w:ascii="仿宋_GB2312" w:eastAsia="仿宋_GB2312" w:cs="仿宋_GB2312"/>
          <w:color w:val="000000"/>
          <w:sz w:val="32"/>
          <w:szCs w:val="32"/>
        </w:rPr>
        <w:t>）绿色节能施工监理的监理措施合理可行得</w:t>
      </w:r>
      <w:r>
        <w:rPr>
          <w:rFonts w:ascii="仿宋_GB2312" w:eastAsia="仿宋_GB2312" w:cs="仿宋_GB2312"/>
          <w:color w:val="000000"/>
          <w:sz w:val="32"/>
          <w:szCs w:val="32"/>
        </w:rPr>
        <w:t>0.5</w:t>
      </w:r>
      <w:r>
        <w:rPr>
          <w:rFonts w:hint="eastAsia" w:ascii="仿宋_GB2312" w:eastAsia="仿宋_GB2312" w:cs="仿宋_GB2312"/>
          <w:color w:val="000000"/>
          <w:sz w:val="32"/>
          <w:szCs w:val="32"/>
        </w:rPr>
        <w:t>分，否则不得分；</w:t>
      </w:r>
    </w:p>
    <w:bookmarkEnd w:id="8"/>
    <w:p w14:paraId="38A35320">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③监理单位对监理人员自身的安全管理有管理措施得</w:t>
      </w:r>
      <w:r>
        <w:rPr>
          <w:rFonts w:ascii="仿宋_GB2312" w:eastAsia="仿宋_GB2312" w:cs="仿宋_GB2312"/>
          <w:color w:val="000000"/>
          <w:sz w:val="32"/>
          <w:szCs w:val="32"/>
        </w:rPr>
        <w:t>0.5</w:t>
      </w:r>
      <w:r>
        <w:rPr>
          <w:rFonts w:hint="eastAsia" w:ascii="仿宋_GB2312" w:eastAsia="仿宋_GB2312" w:cs="仿宋_GB2312"/>
          <w:color w:val="000000"/>
          <w:sz w:val="32"/>
          <w:szCs w:val="32"/>
        </w:rPr>
        <w:t>分，否则不得分。</w:t>
      </w:r>
    </w:p>
    <w:p w14:paraId="2B8C798C">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11</w:t>
      </w:r>
      <w:r>
        <w:rPr>
          <w:rFonts w:hint="eastAsia" w:ascii="仿宋_GB2312" w:eastAsia="仿宋_GB2312" w:cs="仿宋_GB2312"/>
          <w:color w:val="000000"/>
          <w:sz w:val="32"/>
          <w:szCs w:val="32"/>
        </w:rPr>
        <w:t>）用于本工程的监理设备及后勤保障（</w:t>
      </w:r>
      <w:r>
        <w:rPr>
          <w:rFonts w:ascii="仿宋_GB2312" w:eastAsia="仿宋_GB2312" w:cs="仿宋_GB2312"/>
          <w:color w:val="000000"/>
          <w:sz w:val="32"/>
          <w:szCs w:val="32"/>
        </w:rPr>
        <w:t>4</w:t>
      </w:r>
      <w:r>
        <w:rPr>
          <w:rFonts w:hint="eastAsia" w:ascii="仿宋_GB2312" w:eastAsia="仿宋_GB2312" w:cs="仿宋_GB2312"/>
          <w:color w:val="000000"/>
          <w:sz w:val="32"/>
          <w:szCs w:val="32"/>
        </w:rPr>
        <w:t>分）</w:t>
      </w:r>
      <w:bookmarkStart w:id="9" w:name="_Hlk115332224"/>
    </w:p>
    <w:p w14:paraId="2BEAB16A">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①投标人为本项目配备了与项目规模相适应的交通、检测及办公监理设备，能满足监理业务需要得</w:t>
      </w:r>
      <w:r>
        <w:rPr>
          <w:rFonts w:ascii="仿宋_GB2312" w:eastAsia="仿宋_GB2312" w:cs="仿宋_GB2312"/>
          <w:color w:val="000000"/>
          <w:sz w:val="32"/>
          <w:szCs w:val="32"/>
        </w:rPr>
        <w:t>3</w:t>
      </w:r>
      <w:r>
        <w:rPr>
          <w:rFonts w:hint="eastAsia" w:ascii="仿宋_GB2312" w:eastAsia="仿宋_GB2312" w:cs="仿宋_GB2312"/>
          <w:color w:val="000000"/>
          <w:sz w:val="32"/>
          <w:szCs w:val="32"/>
        </w:rPr>
        <w:t>分，配备了主要的交通、检测及办公监理设备得</w:t>
      </w:r>
      <w:r>
        <w:rPr>
          <w:rFonts w:ascii="仿宋_GB2312" w:eastAsia="仿宋_GB2312" w:cs="仿宋_GB2312"/>
          <w:color w:val="000000"/>
          <w:sz w:val="32"/>
          <w:szCs w:val="32"/>
        </w:rPr>
        <w:t>2</w:t>
      </w:r>
      <w:r>
        <w:rPr>
          <w:rFonts w:hint="eastAsia" w:ascii="仿宋_GB2312" w:eastAsia="仿宋_GB2312" w:cs="仿宋_GB2312"/>
          <w:color w:val="000000"/>
          <w:sz w:val="32"/>
          <w:szCs w:val="32"/>
        </w:rPr>
        <w:t>分，配备了一般的办公监理设备得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否则不得分；</w:t>
      </w:r>
    </w:p>
    <w:p w14:paraId="2C07B29C">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②监理单位后勤保障措施得力者得</w:t>
      </w:r>
      <w:r>
        <w:rPr>
          <w:rFonts w:ascii="仿宋_GB2312" w:eastAsia="仿宋_GB2312" w:cs="仿宋_GB2312"/>
          <w:color w:val="000000"/>
          <w:sz w:val="32"/>
          <w:szCs w:val="32"/>
        </w:rPr>
        <w:t>1</w:t>
      </w:r>
      <w:r>
        <w:rPr>
          <w:rFonts w:hint="eastAsia" w:ascii="仿宋_GB2312" w:eastAsia="仿宋_GB2312" w:cs="仿宋_GB2312"/>
          <w:color w:val="000000"/>
          <w:sz w:val="32"/>
          <w:szCs w:val="32"/>
        </w:rPr>
        <w:t>分，否则不得分。</w:t>
      </w:r>
      <w:bookmarkEnd w:id="9"/>
    </w:p>
    <w:p w14:paraId="7481932C">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技术标评审时，评委各自独立打分。在统计投标人得分时，应去掉一个最高分和一个最低分，以算术平均值计入投标人总得分。</w:t>
      </w:r>
    </w:p>
    <w:p w14:paraId="3BBD63E8">
      <w:pPr>
        <w:snapToGrid w:val="0"/>
        <w:spacing w:line="640" w:lineRule="atLeast"/>
        <w:ind w:firstLine="640" w:firstLineChars="200"/>
        <w:rPr>
          <w:rFonts w:ascii="仿宋_GB2312" w:hAnsi="仿宋" w:eastAsia="仿宋_GB2312" w:cs="Times New Roman"/>
          <w:sz w:val="32"/>
          <w:szCs w:val="32"/>
        </w:rPr>
      </w:pPr>
      <w:r>
        <w:rPr>
          <w:rFonts w:hint="eastAsia" w:ascii="黑体" w:hAnsi="黑体" w:eastAsia="黑体" w:cs="黑体"/>
          <w:sz w:val="32"/>
          <w:szCs w:val="32"/>
        </w:rPr>
        <w:t>第十二条</w:t>
      </w:r>
      <w:r>
        <w:rPr>
          <w:rFonts w:ascii="仿宋_GB2312" w:hAnsi="仿宋" w:eastAsia="仿宋_GB2312" w:cs="仿宋_GB2312"/>
          <w:b/>
          <w:bCs/>
          <w:sz w:val="32"/>
          <w:szCs w:val="32"/>
        </w:rPr>
        <w:t xml:space="preserve">  </w:t>
      </w:r>
      <w:r>
        <w:rPr>
          <w:rFonts w:hint="eastAsia" w:ascii="仿宋_GB2312" w:hAnsi="仿宋" w:eastAsia="仿宋_GB2312" w:cs="仿宋_GB2312"/>
          <w:sz w:val="32"/>
          <w:szCs w:val="32"/>
        </w:rPr>
        <w:t>在评标过程中，评标委员会可以书面形式要求投标人对所提交的投标文件中不明确的内容进行书面澄清或说明，但不接受投标人主动提出的澄清、说明或补正。</w:t>
      </w:r>
    </w:p>
    <w:p w14:paraId="54BE3118">
      <w:pPr>
        <w:snapToGrid w:val="0"/>
        <w:spacing w:line="640" w:lineRule="atLeast"/>
        <w:ind w:firstLine="640" w:firstLineChars="200"/>
        <w:rPr>
          <w:rFonts w:ascii="仿宋_GB2312" w:hAnsi="仿宋" w:eastAsia="仿宋_GB2312" w:cs="Times New Roman"/>
          <w:sz w:val="32"/>
          <w:szCs w:val="32"/>
        </w:rPr>
      </w:pPr>
      <w:r>
        <w:rPr>
          <w:rFonts w:hint="eastAsia" w:ascii="黑体" w:hAnsi="黑体" w:eastAsia="黑体" w:cs="黑体"/>
          <w:sz w:val="32"/>
          <w:szCs w:val="32"/>
        </w:rPr>
        <w:t>第十三条</w:t>
      </w:r>
      <w:r>
        <w:rPr>
          <w:rFonts w:ascii="黑体" w:hAnsi="黑体" w:eastAsia="黑体" w:cs="黑体"/>
          <w:sz w:val="32"/>
          <w:szCs w:val="32"/>
        </w:rPr>
        <w:t xml:space="preserve">  </w:t>
      </w:r>
      <w:r>
        <w:rPr>
          <w:rFonts w:hint="eastAsia" w:ascii="仿宋_GB2312" w:hAnsi="仿宋" w:eastAsia="仿宋_GB2312" w:cs="仿宋_GB2312"/>
          <w:sz w:val="32"/>
          <w:szCs w:val="32"/>
        </w:rPr>
        <w:t>评标委员会对投标人提交的澄清、说明或补正有疑问的，可以要求投标人进一步澄清、说明或补正，以利于评标工作的有序开展。</w:t>
      </w:r>
    </w:p>
    <w:p w14:paraId="5A9B1848">
      <w:pPr>
        <w:snapToGrid w:val="0"/>
        <w:spacing w:line="640" w:lineRule="atLeast"/>
        <w:ind w:firstLine="640" w:firstLineChars="200"/>
        <w:rPr>
          <w:rFonts w:ascii="仿宋_GB2312" w:hAnsi="仿宋" w:eastAsia="仿宋_GB2312" w:cs="Times New Roman"/>
          <w:sz w:val="32"/>
          <w:szCs w:val="32"/>
        </w:rPr>
      </w:pPr>
      <w:r>
        <w:rPr>
          <w:rFonts w:hint="eastAsia" w:ascii="黑体" w:hAnsi="黑体" w:eastAsia="黑体" w:cs="黑体"/>
          <w:sz w:val="32"/>
          <w:szCs w:val="32"/>
        </w:rPr>
        <w:t>第十四条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投标人根据评标委员会的书面要求对投标文件进行澄清或说明的，</w:t>
      </w:r>
      <w:r>
        <w:rPr>
          <w:rFonts w:hint="eastAsia" w:ascii="仿宋_GB2312" w:hAnsi="仿宋" w:eastAsia="仿宋_GB2312" w:cs="仿宋_GB2312"/>
          <w:sz w:val="32"/>
          <w:szCs w:val="32"/>
        </w:rPr>
        <w:t>澄清或者说明不得超出投标文件的范围或者改变投标文件的实质性内容。</w:t>
      </w:r>
    </w:p>
    <w:p w14:paraId="623A8B5F">
      <w:pPr>
        <w:snapToGrid w:val="0"/>
        <w:spacing w:line="640" w:lineRule="atLeast"/>
        <w:ind w:firstLine="640" w:firstLineChars="200"/>
        <w:rPr>
          <w:rFonts w:ascii="仿宋_GB2312" w:hAnsi="仿宋" w:eastAsia="仿宋_GB2312" w:cs="Times New Roman"/>
          <w:sz w:val="32"/>
          <w:szCs w:val="32"/>
        </w:rPr>
      </w:pPr>
      <w:r>
        <w:rPr>
          <w:rFonts w:hint="eastAsia" w:ascii="黑体" w:hAnsi="黑体" w:eastAsia="黑体" w:cs="黑体"/>
          <w:sz w:val="32"/>
          <w:szCs w:val="32"/>
        </w:rPr>
        <w:t>第十五条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在评标过程中，评标委员会发现投标人的报价明显低于其他投标报价，使得其投标报价可能低于其个别成本的，有可能影响质量或者不能诚信履约的，应当要求其作出书面说明并提供相关证明材料。投标人不能合理说明或者不能提供相关证明材料的，评标委员会应当否决其投标。</w:t>
      </w:r>
    </w:p>
    <w:p w14:paraId="5FC74B91">
      <w:pPr>
        <w:snapToGrid w:val="0"/>
        <w:spacing w:line="640" w:lineRule="atLeast"/>
        <w:ind w:firstLine="640" w:firstLineChars="200"/>
        <w:rPr>
          <w:rFonts w:ascii="仿宋_GB2312" w:hAnsi="仿宋" w:eastAsia="仿宋_GB2312" w:cs="Times New Roman"/>
          <w:sz w:val="32"/>
          <w:szCs w:val="32"/>
        </w:rPr>
      </w:pPr>
      <w:r>
        <w:rPr>
          <w:rFonts w:hint="eastAsia" w:ascii="黑体" w:hAnsi="黑体" w:eastAsia="黑体" w:cs="黑体"/>
          <w:sz w:val="32"/>
          <w:szCs w:val="32"/>
        </w:rPr>
        <w:t>第十六条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评标委员会完成投标人综合分值计算统计后，应将投标人按得分高低排序。</w:t>
      </w:r>
      <w:bookmarkStart w:id="10" w:name="_Hlk78989040"/>
      <w:r>
        <w:rPr>
          <w:rFonts w:hint="eastAsia" w:ascii="仿宋_GB2312" w:hAnsi="仿宋" w:eastAsia="仿宋_GB2312" w:cs="仿宋_GB2312"/>
          <w:sz w:val="32"/>
          <w:szCs w:val="32"/>
        </w:rPr>
        <w:t>若投标人得分相等时，按低报价优先的原则排序。</w:t>
      </w:r>
      <w:bookmarkEnd w:id="10"/>
    </w:p>
    <w:p w14:paraId="532E135A">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sz w:val="32"/>
          <w:szCs w:val="32"/>
        </w:rPr>
        <w:t>第十七条</w:t>
      </w:r>
      <w:r>
        <w:rPr>
          <w:rFonts w:ascii="仿宋_GB2312" w:hAnsi="仿宋" w:eastAsia="仿宋_GB2312" w:cs="仿宋_GB2312"/>
          <w:b/>
          <w:bCs/>
          <w:sz w:val="32"/>
          <w:szCs w:val="32"/>
        </w:rPr>
        <w:t xml:space="preserve">  </w:t>
      </w:r>
      <w:r>
        <w:rPr>
          <w:rFonts w:hint="eastAsia" w:ascii="仿宋_GB2312" w:eastAsia="仿宋_GB2312" w:cs="仿宋_GB2312"/>
          <w:color w:val="000000"/>
          <w:sz w:val="32"/>
          <w:szCs w:val="32"/>
        </w:rPr>
        <w:t>评标委员会完成评标后，应当向招标人提出书面评标报告。评标委员会全体成员应当在评标报告上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2D7CE36E">
      <w:pPr>
        <w:snapToGrid w:val="0"/>
        <w:spacing w:line="640" w:lineRule="atLeast"/>
        <w:ind w:firstLine="640" w:firstLineChars="200"/>
        <w:rPr>
          <w:rFonts w:ascii="仿宋_GB2312" w:eastAsia="仿宋_GB2312" w:cs="Times New Roman"/>
          <w:color w:val="000000"/>
          <w:sz w:val="32"/>
          <w:szCs w:val="32"/>
        </w:rPr>
      </w:pPr>
      <w:r>
        <w:rPr>
          <w:rFonts w:hint="eastAsia" w:ascii="黑体" w:hAnsi="黑体" w:eastAsia="黑体" w:cs="黑体"/>
          <w:sz w:val="32"/>
          <w:szCs w:val="32"/>
        </w:rPr>
        <w:t>第十八条</w:t>
      </w:r>
      <w:r>
        <w:rPr>
          <w:rFonts w:ascii="仿宋_GB2312" w:hAnsi="仿宋" w:eastAsia="仿宋_GB2312" w:cs="仿宋_GB2312"/>
          <w:b/>
          <w:bCs/>
          <w:sz w:val="32"/>
          <w:szCs w:val="32"/>
        </w:rPr>
        <w:t xml:space="preserve">  </w:t>
      </w:r>
      <w:r>
        <w:rPr>
          <w:rFonts w:hint="eastAsia" w:ascii="仿宋_GB2312" w:eastAsia="仿宋_GB2312" w:cs="仿宋_GB2312"/>
          <w:color w:val="000000"/>
          <w:sz w:val="32"/>
          <w:szCs w:val="32"/>
        </w:rPr>
        <w:t>招标人可授权评标委员会确定中标人，也可采用评定分离方法确定中标人。</w:t>
      </w:r>
    </w:p>
    <w:p w14:paraId="09BAB7D2">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招标文件中明确招标人授权评标委员会确定中标人时，评标委员会必须按照中标候选人得分顺序，选择得分排名第一的中标候选人为中标人。</w:t>
      </w:r>
    </w:p>
    <w:p w14:paraId="42D01BA4">
      <w:pPr>
        <w:snapToGrid w:val="0"/>
        <w:spacing w:line="640" w:lineRule="atLeas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招标文件中明确采用评定分离方法确定中标人的，评标委员会按投标人得分顺序向招标人推荐前</w:t>
      </w:r>
      <w:r>
        <w:rPr>
          <w:rFonts w:ascii="仿宋_GB2312" w:eastAsia="仿宋_GB2312" w:cs="仿宋_GB2312"/>
          <w:color w:val="000000"/>
          <w:sz w:val="32"/>
          <w:szCs w:val="32"/>
        </w:rPr>
        <w:t>3</w:t>
      </w:r>
      <w:r>
        <w:rPr>
          <w:rFonts w:hint="eastAsia" w:ascii="仿宋_GB2312" w:eastAsia="仿宋_GB2312" w:cs="仿宋_GB2312"/>
          <w:color w:val="000000"/>
          <w:sz w:val="32"/>
          <w:szCs w:val="32"/>
        </w:rPr>
        <w:t>名为中标候选人，被推荐的候选人排名不分先后。由招标人按照工程项目的需要，择优确定中标人。招标人不得将投标人所在地域、所有制形式、资质等级作为确定中标人的前置条件。</w:t>
      </w:r>
    </w:p>
    <w:p w14:paraId="6D00174A">
      <w:pPr>
        <w:snapToGrid w:val="0"/>
        <w:spacing w:line="640" w:lineRule="atLeast"/>
        <w:ind w:firstLine="640" w:firstLineChars="200"/>
        <w:rPr>
          <w:rFonts w:ascii="仿宋_GB2312" w:hAnsi="仿宋" w:eastAsia="仿宋_GB2312" w:cs="Times New Roman"/>
          <w:sz w:val="32"/>
          <w:szCs w:val="32"/>
        </w:rPr>
      </w:pPr>
      <w:r>
        <w:rPr>
          <w:rFonts w:hint="eastAsia" w:ascii="黑体" w:hAnsi="黑体" w:eastAsia="黑体" w:cs="黑体"/>
          <w:sz w:val="32"/>
          <w:szCs w:val="32"/>
        </w:rPr>
        <w:t>第十九条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本办法自</w:t>
      </w:r>
      <w:r>
        <w:rPr>
          <w:rFonts w:ascii="仿宋_GB2312" w:hAnsi="仿宋" w:eastAsia="仿宋_GB2312" w:cs="仿宋_GB2312"/>
          <w:sz w:val="32"/>
          <w:szCs w:val="32"/>
        </w:rPr>
        <w:t>2025</w:t>
      </w:r>
      <w:r>
        <w:rPr>
          <w:rFonts w:hint="eastAsia" w:ascii="仿宋_GB2312" w:hAnsi="仿宋" w:eastAsia="仿宋_GB2312" w:cs="仿宋_GB2312"/>
          <w:sz w:val="32"/>
          <w:szCs w:val="32"/>
        </w:rPr>
        <w:t>年</w:t>
      </w:r>
      <w:r>
        <w:rPr>
          <w:rFonts w:ascii="仿宋_GB2312" w:eastAsia="仿宋_GB2312" w:cs="仿宋_GB2312"/>
          <w:sz w:val="32"/>
          <w:szCs w:val="32"/>
        </w:rPr>
        <w:t>1</w:t>
      </w:r>
      <w:r>
        <w:rPr>
          <w:rFonts w:hint="eastAsia" w:ascii="仿宋_GB2312" w:hAnsi="仿宋" w:eastAsia="仿宋_GB2312" w:cs="仿宋_GB2312"/>
          <w:sz w:val="32"/>
          <w:szCs w:val="32"/>
        </w:rPr>
        <w:t>月</w:t>
      </w:r>
      <w:r>
        <w:rPr>
          <w:rFonts w:ascii="仿宋_GB2312" w:hAnsi="仿宋" w:eastAsia="仿宋_GB2312" w:cs="仿宋_GB2312"/>
          <w:sz w:val="32"/>
          <w:szCs w:val="32"/>
        </w:rPr>
        <w:t>17</w:t>
      </w:r>
      <w:r>
        <w:rPr>
          <w:rFonts w:hint="eastAsia" w:ascii="仿宋_GB2312" w:hAnsi="仿宋" w:eastAsia="仿宋_GB2312" w:cs="仿宋_GB2312"/>
          <w:sz w:val="32"/>
          <w:szCs w:val="32"/>
        </w:rPr>
        <w:t>日起施行，</w:t>
      </w:r>
      <w:r>
        <w:rPr>
          <w:rFonts w:hint="eastAsia" w:ascii="仿宋_GB2312" w:eastAsia="仿宋_GB2312" w:cs="仿宋_GB2312"/>
          <w:sz w:val="32"/>
          <w:szCs w:val="32"/>
        </w:rPr>
        <w:t>有效期</w:t>
      </w:r>
      <w:r>
        <w:rPr>
          <w:rFonts w:ascii="仿宋_GB2312" w:eastAsia="仿宋_GB2312" w:cs="仿宋_GB2312"/>
          <w:sz w:val="32"/>
          <w:szCs w:val="32"/>
        </w:rPr>
        <w:t>5</w:t>
      </w:r>
      <w:r>
        <w:rPr>
          <w:rFonts w:hint="eastAsia" w:ascii="仿宋_GB2312" w:eastAsia="仿宋_GB2312" w:cs="仿宋_GB2312"/>
          <w:sz w:val="32"/>
          <w:szCs w:val="32"/>
        </w:rPr>
        <w:t>年</w:t>
      </w:r>
      <w:r>
        <w:rPr>
          <w:rFonts w:hint="eastAsia" w:ascii="仿宋_GB2312" w:eastAsia="仿宋_GB2312" w:cs="仿宋_GB2312"/>
          <w:color w:val="000000"/>
          <w:sz w:val="32"/>
          <w:szCs w:val="32"/>
        </w:rPr>
        <w:t>。</w:t>
      </w:r>
    </w:p>
    <w:p w14:paraId="45C93A8D">
      <w:pPr>
        <w:snapToGrid w:val="0"/>
        <w:spacing w:line="640" w:lineRule="atLeast"/>
        <w:rPr>
          <w:rFonts w:ascii="仿宋_GB2312" w:eastAsia="仿宋_GB2312" w:cs="Times New Roman"/>
          <w:color w:val="000000"/>
          <w:sz w:val="32"/>
          <w:szCs w:val="32"/>
        </w:rPr>
      </w:pPr>
    </w:p>
    <w:p w14:paraId="32F30BF8">
      <w:pPr>
        <w:snapToGrid w:val="0"/>
        <w:spacing w:line="640" w:lineRule="atLeast"/>
        <w:rPr>
          <w:rFonts w:ascii="仿宋_GB2312" w:eastAsia="仿宋_GB2312" w:cs="Times New Roman"/>
          <w:color w:val="000000"/>
          <w:sz w:val="32"/>
          <w:szCs w:val="32"/>
        </w:rPr>
      </w:pPr>
    </w:p>
    <w:p w14:paraId="5ABA89E8">
      <w:pPr>
        <w:snapToGrid w:val="0"/>
        <w:spacing w:line="360" w:lineRule="atLeast"/>
        <w:rPr>
          <w:rFonts w:ascii="仿宋_GB2312" w:eastAsia="仿宋_GB2312" w:cs="Times New Roman"/>
          <w:color w:val="000000"/>
          <w:sz w:val="32"/>
          <w:szCs w:val="32"/>
        </w:rPr>
      </w:pPr>
    </w:p>
    <w:p w14:paraId="26D3D4DA">
      <w:pPr>
        <w:adjustRightInd w:val="0"/>
        <w:snapToGrid w:val="0"/>
        <w:spacing w:line="580" w:lineRule="atLeast"/>
        <w:rPr>
          <w:rFonts w:ascii="仿宋_GB2312" w:eastAsia="仿宋_GB2312" w:cs="Times New Roman"/>
          <w:sz w:val="28"/>
          <w:szCs w:val="28"/>
        </w:rPr>
      </w:pPr>
    </w:p>
    <w:sectPr>
      <w:footerReference r:id="rId3" w:type="default"/>
      <w:pgSz w:w="11906" w:h="16838"/>
      <w:pgMar w:top="1928" w:right="1531" w:bottom="1758" w:left="1588" w:header="851" w:footer="150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B48EB3-4CFF-43CE-8660-44661503E8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D9F3E7-7371-434E-B8B4-D690B4CA5057}"/>
  </w:font>
  <w:font w:name="仿宋_GB2312">
    <w:panose1 w:val="02010609030101010101"/>
    <w:charset w:val="86"/>
    <w:family w:val="modern"/>
    <w:pitch w:val="default"/>
    <w:sig w:usb0="00000001" w:usb1="080E0000" w:usb2="00000000" w:usb3="00000000" w:csb0="00040000" w:csb1="00000000"/>
    <w:embedRegular r:id="rId3" w:fontKey="{B34572D5-04E6-4BE4-B9DA-A1850184481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6BA9F696-FE7F-419E-B359-FED03FEAFD31}"/>
  </w:font>
  <w:font w:name="仿宋">
    <w:panose1 w:val="02010609060101010101"/>
    <w:charset w:val="86"/>
    <w:family w:val="modern"/>
    <w:pitch w:val="default"/>
    <w:sig w:usb0="800002BF" w:usb1="38CF7CFA" w:usb2="00000016" w:usb3="00000000" w:csb0="00040001" w:csb1="00000000"/>
    <w:embedRegular r:id="rId5" w:fontKey="{BE55E0B4-D0F8-4C04-AFE1-C1E9B3A7FA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F0CB">
    <w:pPr>
      <w:pStyle w:val="3"/>
      <w:framePr w:wrap="auto" w:vAnchor="text" w:hAnchor="margin" w:xAlign="outside" w:y="1"/>
      <w:rPr>
        <w:rStyle w:val="8"/>
        <w:rFonts w:ascii="宋体" w:cs="Times New Roman"/>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- 14 -</w:t>
    </w:r>
    <w:r>
      <w:rPr>
        <w:rStyle w:val="8"/>
        <w:rFonts w:ascii="宋体" w:hAnsi="宋体" w:cs="宋体"/>
        <w:sz w:val="28"/>
        <w:szCs w:val="28"/>
      </w:rPr>
      <w:fldChar w:fldCharType="end"/>
    </w:r>
  </w:p>
  <w:p w14:paraId="530542B1">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NjVjMmY5MGJiNjA0ZGE5ODU2OWI2YzkzOTIyYTcifQ=="/>
  </w:docVars>
  <w:rsids>
    <w:rsidRoot w:val="00CE08B0"/>
    <w:rsid w:val="0000001C"/>
    <w:rsid w:val="0000673F"/>
    <w:rsid w:val="0002755A"/>
    <w:rsid w:val="000F6D90"/>
    <w:rsid w:val="0012458A"/>
    <w:rsid w:val="001822A1"/>
    <w:rsid w:val="001B528C"/>
    <w:rsid w:val="00231946"/>
    <w:rsid w:val="00294325"/>
    <w:rsid w:val="00323AA0"/>
    <w:rsid w:val="003B2ECF"/>
    <w:rsid w:val="003D6138"/>
    <w:rsid w:val="00406EAD"/>
    <w:rsid w:val="004E1B70"/>
    <w:rsid w:val="004E29F2"/>
    <w:rsid w:val="005009F4"/>
    <w:rsid w:val="0058604B"/>
    <w:rsid w:val="005C27F9"/>
    <w:rsid w:val="006226C4"/>
    <w:rsid w:val="006562BE"/>
    <w:rsid w:val="006A3448"/>
    <w:rsid w:val="006B263F"/>
    <w:rsid w:val="00723918"/>
    <w:rsid w:val="007C6193"/>
    <w:rsid w:val="007C72ED"/>
    <w:rsid w:val="007F267F"/>
    <w:rsid w:val="0080580D"/>
    <w:rsid w:val="00866999"/>
    <w:rsid w:val="008C2305"/>
    <w:rsid w:val="008F1763"/>
    <w:rsid w:val="00903927"/>
    <w:rsid w:val="00907263"/>
    <w:rsid w:val="009731ED"/>
    <w:rsid w:val="009902FF"/>
    <w:rsid w:val="009E2357"/>
    <w:rsid w:val="00A5151C"/>
    <w:rsid w:val="00A87140"/>
    <w:rsid w:val="00B43A6E"/>
    <w:rsid w:val="00C3214A"/>
    <w:rsid w:val="00CE08B0"/>
    <w:rsid w:val="00D60B18"/>
    <w:rsid w:val="00D77AC5"/>
    <w:rsid w:val="00DA0BB7"/>
    <w:rsid w:val="00E64BA8"/>
    <w:rsid w:val="00F6131D"/>
    <w:rsid w:val="00F97414"/>
    <w:rsid w:val="00FF40DD"/>
    <w:rsid w:val="21072CCF"/>
    <w:rsid w:val="3D5A2F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locked/>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99"/>
  </w:style>
  <w:style w:type="character" w:customStyle="1" w:styleId="9">
    <w:name w:val="页眉 Char"/>
    <w:basedOn w:val="7"/>
    <w:link w:val="4"/>
    <w:semiHidden/>
    <w:qFormat/>
    <w:locked/>
    <w:uiPriority w:val="99"/>
    <w:rPr>
      <w:sz w:val="18"/>
      <w:szCs w:val="18"/>
    </w:rPr>
  </w:style>
  <w:style w:type="character" w:customStyle="1" w:styleId="10">
    <w:name w:val="页脚 Char"/>
    <w:basedOn w:val="7"/>
    <w:link w:val="3"/>
    <w:semiHidden/>
    <w:qFormat/>
    <w:locked/>
    <w:uiPriority w:val="99"/>
    <w:rPr>
      <w:sz w:val="18"/>
      <w:szCs w:val="18"/>
    </w:rPr>
  </w:style>
  <w:style w:type="character" w:customStyle="1" w:styleId="11">
    <w:name w:val="日期 Char"/>
    <w:basedOn w:val="7"/>
    <w:link w:val="2"/>
    <w:semiHidden/>
    <w:qFormat/>
    <w:locked/>
    <w:uiPriority w:val="99"/>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2071</Words>
  <Characters>2118</Characters>
  <Lines>33</Lines>
  <Paragraphs>9</Paragraphs>
  <TotalTime>43</TotalTime>
  <ScaleCrop>false</ScaleCrop>
  <LinksUpToDate>false</LinksUpToDate>
  <CharactersWithSpaces>2147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2023-01-18T07:08:00Z</dcterms:created>
  <dc:creator>蛋蛋的忧伤</dc:creator>
  <cp:lastModifiedBy>蛋蛋的忧伤</cp:lastModifiedBy>
  <cp:lastPrinted>2025-01-20T01:34:00Z</cp:lastPrinted>
  <dcterms:modified xsi:type="dcterms:W3CDTF">2025-01-21T03:27:19Z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FDA0DAB46B314F30B9ACD059FE698C08_13</vt:lpwstr>
  </property>
  <property fmtid="{D5CDD505-2E9C-101B-9397-08002B2CF9AE}" pid="4" name="KSOTemplateDocerSaveRecord">
    <vt:lpwstr>eyJoZGlkIjoiMmYxZjczODExODUyMTQxYzNlYjVjZjViOGE0NGM2Y2YiLCJ1c2VySWQiOiI0MjMwMzA0ODUifQ==</vt:lpwstr>
  </property>
</Properties>
</file>